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sz w:val="28"/>
          <w:szCs w:val="28"/>
        </w:rPr>
      </w:pPr>
      <w:bookmarkStart w:id="0" w:name="_GoBack"/>
      <w:bookmarkEnd w:id="0"/>
      <w:r>
        <w:rPr>
          <w:b/>
          <w:sz w:val="28"/>
          <w:szCs w:val="28"/>
        </w:rPr>
        <w:t>VOLUME 2</w:t>
      </w:r>
    </w:p>
    <w:p>
      <w:pPr>
        <w:pStyle w:val="Normal"/>
        <w:spacing w:before="360" w:after="0"/>
        <w:jc w:val="center"/>
        <w:rPr>
          <w:b/>
          <w:b/>
          <w:sz w:val="28"/>
          <w:szCs w:val="28"/>
        </w:rPr>
      </w:pPr>
      <w:r>
        <w:rPr>
          <w:b/>
          <w:sz w:val="28"/>
          <w:szCs w:val="28"/>
        </w:rPr>
        <w:t>SECTION 3</w:t>
      </w:r>
    </w:p>
    <w:p>
      <w:pPr>
        <w:pStyle w:val="Normal"/>
        <w:spacing w:before="0" w:after="360"/>
        <w:jc w:val="center"/>
        <w:rPr>
          <w:b/>
          <w:b/>
          <w:sz w:val="28"/>
          <w:szCs w:val="28"/>
        </w:rPr>
      </w:pPr>
      <w:bookmarkStart w:id="1" w:name="_Toc76894411"/>
      <w:bookmarkStart w:id="2" w:name="_Toc76894272"/>
      <w:bookmarkStart w:id="3" w:name="_Toc72056418"/>
      <w:bookmarkStart w:id="4" w:name="_Toc71357944"/>
      <w:bookmarkStart w:id="5" w:name="_Toc71357730"/>
      <w:r>
        <w:rPr>
          <w:b/>
          <w:sz w:val="28"/>
          <w:szCs w:val="28"/>
        </w:rPr>
        <w:t>SPECIAL CONDITIONS</w:t>
      </w:r>
      <w:bookmarkStart w:id="6" w:name="_Toc76894412"/>
      <w:bookmarkStart w:id="7" w:name="_Toc72056419"/>
      <w:bookmarkStart w:id="8" w:name="_Toc71357945"/>
      <w:bookmarkStart w:id="9" w:name="_Toc71357731"/>
      <w:bookmarkEnd w:id="1"/>
      <w:bookmarkEnd w:id="2"/>
      <w:bookmarkEnd w:id="3"/>
      <w:bookmarkEnd w:id="4"/>
      <w:bookmarkEnd w:id="5"/>
    </w:p>
    <w:p>
      <w:pPr>
        <w:pStyle w:val="Normal"/>
        <w:numPr>
          <w:ilvl w:val="0"/>
          <w:numId w:val="0"/>
        </w:numPr>
        <w:spacing w:before="240" w:after="120"/>
        <w:outlineLvl w:val="0"/>
        <w:rPr>
          <w:szCs w:val="24"/>
        </w:rPr>
      </w:pPr>
      <w:r>
        <w:rPr>
          <w:b/>
          <w:bCs/>
          <w:sz w:val="28"/>
          <w:szCs w:val="28"/>
        </w:rPr>
        <w:t>CONTENTS</w:t>
      </w:r>
      <w:bookmarkEnd w:id="6"/>
      <w:bookmarkEnd w:id="7"/>
      <w:bookmarkEnd w:id="8"/>
      <w:bookmarkEnd w:id="9"/>
    </w:p>
    <w:p>
      <w:pPr>
        <w:pStyle w:val="Normal"/>
        <w:numPr>
          <w:ilvl w:val="0"/>
          <w:numId w:val="0"/>
        </w:numPr>
        <w:jc w:val="both"/>
        <w:outlineLvl w:val="0"/>
        <w:rPr>
          <w:sz w:val="22"/>
          <w:szCs w:val="22"/>
        </w:rPr>
      </w:pPr>
      <w:r>
        <w:rPr>
          <w:sz w:val="22"/>
          <w:szCs w:val="22"/>
        </w:rPr>
        <w:t xml:space="preserve">These conditions amplify and supplement the general conditions governing the contract. Unless the special conditions provide otherwise, the general conditions remain fully applicable. The numbering of the articles of the special conditions is not consecutive but follows the numbering of the general conditions. Other special conditions should be indicated afterwards. </w:t>
      </w:r>
    </w:p>
    <w:p>
      <w:pPr>
        <w:pStyle w:val="Normal"/>
        <w:spacing w:before="240" w:after="0"/>
        <w:ind w:left="1134" w:hanging="1134"/>
        <w:jc w:val="both"/>
        <w:rPr/>
      </w:pPr>
      <w:bookmarkStart w:id="10" w:name="_Toc76894414"/>
      <w:r>
        <w:rPr>
          <w:b/>
          <w:szCs w:val="24"/>
        </w:rPr>
        <w:t>Article 2</w:t>
        <w:tab/>
        <w:t>Language of the contract</w:t>
      </w:r>
      <w:bookmarkEnd w:id="10"/>
    </w:p>
    <w:p>
      <w:pPr>
        <w:pStyle w:val="Normal"/>
        <w:spacing w:before="120" w:after="120"/>
        <w:ind w:left="1134" w:hanging="567"/>
        <w:rPr>
          <w:sz w:val="22"/>
          <w:szCs w:val="22"/>
        </w:rPr>
      </w:pPr>
      <w:r>
        <w:rPr>
          <w:bCs/>
          <w:sz w:val="22"/>
          <w:szCs w:val="22"/>
        </w:rPr>
        <w:t>2.1</w:t>
      </w:r>
      <w:r>
        <w:rPr>
          <w:sz w:val="22"/>
          <w:szCs w:val="22"/>
        </w:rPr>
        <w:tab/>
        <w:t>The language used shall be English.</w:t>
      </w:r>
      <w:r>
        <w:rPr>
          <w:sz w:val="22"/>
          <w:szCs w:val="22"/>
          <w:shd w:fill="C0C0C0" w:val="clear"/>
        </w:rPr>
        <w:t xml:space="preserve"> </w:t>
      </w:r>
    </w:p>
    <w:p>
      <w:pPr>
        <w:pStyle w:val="Normal"/>
        <w:spacing w:before="240" w:after="0"/>
        <w:ind w:left="1134" w:hanging="1134"/>
        <w:jc w:val="both"/>
        <w:rPr>
          <w:b/>
          <w:b/>
          <w:szCs w:val="24"/>
        </w:rPr>
      </w:pPr>
      <w:bookmarkStart w:id="11" w:name="_Toc76894416"/>
      <w:r>
        <w:rPr>
          <w:b/>
          <w:szCs w:val="24"/>
        </w:rPr>
        <w:t>Article 4</w:t>
        <w:tab/>
        <w:t>Communication</w:t>
      </w:r>
      <w:bookmarkEnd w:id="11"/>
    </w:p>
    <w:p>
      <w:pPr>
        <w:pStyle w:val="Normal"/>
        <w:spacing w:before="120" w:after="120"/>
        <w:ind w:left="1134" w:hanging="567"/>
        <w:rPr/>
      </w:pPr>
      <w:r>
        <w:rPr>
          <w:sz w:val="22"/>
          <w:szCs w:val="22"/>
        </w:rPr>
        <w:t>4.1</w:t>
        <w:tab/>
      </w:r>
      <w:r>
        <w:rPr>
          <w:sz w:val="22"/>
          <w:szCs w:val="22"/>
          <w:lang w:val="en-US"/>
        </w:rPr>
        <w:t xml:space="preserve">Communication considering the tender procedure for construction works will be with              Mrs Marija Radeska Gjukikj, project manager on behalf of Municipality of Kriva Palanka, with project office on address St Jochim Osogovski street 175, Kriva Palanka, phone/fax +389 (0)31 375 035 or email - </w:t>
      </w:r>
      <w:hyperlink r:id="rId2">
        <w:r>
          <w:rPr>
            <w:rStyle w:val="InternetLink"/>
            <w:sz w:val="22"/>
            <w:szCs w:val="22"/>
            <w:lang w:val="en-US"/>
          </w:rPr>
          <w:t>parks@kriva</w:t>
        </w:r>
      </w:hyperlink>
      <w:r>
        <w:rPr>
          <w:sz w:val="22"/>
          <w:szCs w:val="22"/>
          <w:lang w:val="en-US"/>
        </w:rPr>
        <w:t>palanka.gov.mk</w:t>
      </w:r>
    </w:p>
    <w:p>
      <w:pPr>
        <w:pStyle w:val="Normal"/>
        <w:spacing w:before="120" w:after="120"/>
        <w:ind w:left="1134" w:hanging="567"/>
        <w:jc w:val="both"/>
        <w:rPr>
          <w:sz w:val="22"/>
          <w:szCs w:val="22"/>
        </w:rPr>
      </w:pPr>
      <w:r>
        <w:rPr>
          <w:sz w:val="22"/>
          <w:szCs w:val="22"/>
        </w:rPr>
        <w:t>4.2</w:t>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pPr>
        <w:pStyle w:val="Normal"/>
        <w:spacing w:before="120" w:after="120"/>
        <w:ind w:left="1134" w:hanging="567"/>
        <w:jc w:val="both"/>
        <w:rPr>
          <w:sz w:val="22"/>
          <w:szCs w:val="22"/>
        </w:rPr>
      </w:pPr>
      <w:r>
        <w:rPr>
          <w:sz w:val="22"/>
          <w:szCs w:val="22"/>
        </w:rPr>
        <w:tab/>
        <w:t>The electronic management of the contract through the aforementioned system may commence on the date on which implementation of the contract starts, as described in Article 33 of the general conditions to the contract, or at a later date. In the latter case, the contracting authority will inform the contractor in writing that he will be required to use the electronic system for all communications within a maximum period of 3 months.</w:t>
      </w:r>
    </w:p>
    <w:p>
      <w:pPr>
        <w:pStyle w:val="Normal"/>
        <w:spacing w:before="240" w:after="0"/>
        <w:ind w:left="1134" w:hanging="1134"/>
        <w:jc w:val="both"/>
        <w:rPr>
          <w:b/>
          <w:b/>
          <w:szCs w:val="24"/>
        </w:rPr>
      </w:pPr>
      <w:bookmarkStart w:id="12" w:name="_Toc76894417"/>
      <w:r>
        <w:rPr>
          <w:b/>
          <w:szCs w:val="24"/>
        </w:rPr>
        <w:t>Article 5</w:t>
        <w:tab/>
        <w:t>Supervisor and supervisor’s representative</w:t>
      </w:r>
      <w:bookmarkEnd w:id="12"/>
    </w:p>
    <w:p>
      <w:pPr>
        <w:pStyle w:val="Normal"/>
        <w:spacing w:before="120" w:after="120"/>
        <w:ind w:left="1134" w:hanging="567"/>
        <w:jc w:val="both"/>
        <w:rPr/>
      </w:pPr>
      <w:r>
        <w:rPr>
          <w:bCs/>
          <w:sz w:val="22"/>
          <w:szCs w:val="22"/>
        </w:rPr>
        <w:t>5.2</w:t>
      </w:r>
      <w:r>
        <w:rPr>
          <w:sz w:val="22"/>
          <w:szCs w:val="22"/>
        </w:rPr>
        <w:tab/>
        <w:t xml:space="preserve">The </w:t>
      </w:r>
      <w:r>
        <w:rPr>
          <w:sz w:val="22"/>
        </w:rPr>
        <w:t xml:space="preserve">supervisor may, from time to time, while retaining ultimate responsibility, delegate to the supervisor's representative any of the duties and authority vested in the supervisor and he may at any time revoke such delegation or replace the representative. Any such delegation, revocation or replacement shall be in writing and shall not take effect until a copy thereof has been delivered to the contractor. The administrative order which determines the duties, authority and identity of the supervisor's representative shall be issued by the supervisor at the moment of the commencement order. The role of the supervisor’s representative shall be to supervise and inspect works and to test and examine the materials employed and the quality of workmanship. Under no circumstances will the supervisor’s representative be empowered to relieve the contractor of its obligations under the contract or – save where express instructions to that effect are given below or in the contract – order works resulting in an extension of the period of implementation of tasks or additional costs to be paid by the contracting authority or introduce variants in the nature or scale of the works. </w:t>
      </w:r>
    </w:p>
    <w:p>
      <w:pPr>
        <w:pStyle w:val="Normal"/>
        <w:spacing w:before="120" w:after="120"/>
        <w:ind w:left="1134" w:hanging="567"/>
        <w:jc w:val="both"/>
        <w:rPr/>
      </w:pPr>
      <w:r>
        <w:rPr>
          <w:bCs/>
          <w:sz w:val="22"/>
          <w:szCs w:val="22"/>
        </w:rPr>
        <w:t>5.3</w:t>
      </w:r>
      <w:r>
        <w:rPr>
          <w:sz w:val="22"/>
          <w:szCs w:val="22"/>
        </w:rPr>
        <w:tab/>
        <w:t xml:space="preserve">Any communication given by the </w:t>
      </w:r>
      <w:r>
        <w:rPr>
          <w:sz w:val="22"/>
        </w:rPr>
        <w:t xml:space="preserve">supervisor's representative to the contractor in accordance with the terms of such delegation shall have the same effect as though it had been given by the supervisor, provided that: </w:t>
      </w:r>
    </w:p>
    <w:p>
      <w:pPr>
        <w:pStyle w:val="Default"/>
        <w:rPr/>
      </w:pPr>
      <w:r>
        <w:rPr>
          <w:strike w:val="false"/>
          <w:dstrike w:val="false"/>
          <w:sz w:val="22"/>
          <w:u w:val="none"/>
        </w:rPr>
        <w:tab/>
        <w:tab/>
        <w:t xml:space="preserve">a) any failure on the part of the supervisor's representative to disapprove any work, </w:t>
        <w:tab/>
        <w:tab/>
        <w:t xml:space="preserve">materials or plant shall not prejudice the authority of the supervisor to disapprove such </w:t>
        <w:tab/>
        <w:tab/>
        <w:t xml:space="preserve">work, materials or plant and to give the instructions necessary for the rectification </w:t>
        <w:tab/>
        <w:tab/>
        <w:t xml:space="preserve">thereof; </w:t>
      </w:r>
    </w:p>
    <w:p>
      <w:pPr>
        <w:pStyle w:val="Normal"/>
        <w:spacing w:before="120" w:after="120"/>
        <w:ind w:left="1134" w:hanging="567"/>
        <w:jc w:val="both"/>
        <w:rPr/>
      </w:pPr>
      <w:r>
        <w:rPr>
          <w:strike w:val="false"/>
          <w:dstrike w:val="false"/>
          <w:sz w:val="22"/>
          <w:u w:val="none"/>
        </w:rPr>
        <w:tab/>
      </w:r>
      <w:r>
        <w:rPr>
          <w:strike w:val="false"/>
          <w:dstrike w:val="false"/>
          <w:sz w:val="22"/>
          <w:u w:val="none"/>
          <w:lang w:val="en-US"/>
        </w:rPr>
        <w:t>`</w:t>
        <w:tab/>
      </w:r>
      <w:r>
        <w:rPr>
          <w:strike w:val="false"/>
          <w:dstrike w:val="false"/>
          <w:sz w:val="22"/>
          <w:u w:val="none"/>
        </w:rPr>
        <w:t xml:space="preserve">b) the supervisor shall be at liberty to reverse or vary the contents of such </w:t>
        <w:tab/>
        <w:t xml:space="preserve">communication </w:t>
      </w:r>
    </w:p>
    <w:p>
      <w:pPr>
        <w:pStyle w:val="Normal"/>
        <w:spacing w:before="120" w:after="120"/>
        <w:ind w:left="1134" w:hanging="567"/>
        <w:jc w:val="both"/>
        <w:rPr/>
      </w:pPr>
      <w:r>
        <w:rPr>
          <w:bCs/>
          <w:sz w:val="22"/>
          <w:szCs w:val="22"/>
        </w:rPr>
        <w:t>5.4</w:t>
      </w:r>
      <w:r>
        <w:rPr>
          <w:sz w:val="22"/>
          <w:szCs w:val="22"/>
        </w:rPr>
        <w:tab/>
        <w:t xml:space="preserve">Instructions and/or orders issued in writing by the </w:t>
      </w:r>
      <w:r>
        <w:rPr>
          <w:sz w:val="22"/>
        </w:rPr>
        <w:t xml:space="preserve">supervisor shall be considered an administrative order. Such orders shall be dated, numbered and entered by the supervisor in a register, and copies thereof delivered by hand, where appropriate, to the contractor's representative. </w:t>
      </w:r>
    </w:p>
    <w:p>
      <w:pPr>
        <w:pStyle w:val="Normal"/>
        <w:spacing w:before="240" w:after="0"/>
        <w:ind w:left="1134" w:hanging="1134"/>
        <w:jc w:val="both"/>
        <w:rPr/>
      </w:pPr>
      <w:bookmarkStart w:id="13" w:name="_Toc76894419"/>
      <w:r>
        <w:rPr>
          <w:b/>
          <w:szCs w:val="24"/>
        </w:rPr>
        <w:t>Article 8</w:t>
        <w:tab/>
        <w:t>Documents to be provided</w:t>
      </w:r>
      <w:bookmarkEnd w:id="13"/>
    </w:p>
    <w:p>
      <w:pPr>
        <w:pStyle w:val="Normal"/>
        <w:spacing w:before="120" w:after="120"/>
        <w:ind w:left="1134" w:hanging="567"/>
        <w:jc w:val="both"/>
        <w:rPr/>
      </w:pPr>
      <w:r>
        <w:rPr>
          <w:sz w:val="22"/>
          <w:szCs w:val="22"/>
        </w:rPr>
        <w:t>8.1</w:t>
        <w:tab/>
      </w:r>
      <w:r>
        <w:rPr>
          <w:sz w:val="22"/>
          <w:szCs w:val="22"/>
          <w:lang w:val="en-US"/>
        </w:rPr>
        <w:t xml:space="preserve">Contracting Authority will provide on review to the contractor and the supervisor following documents: Basic project for construction of the park with all required Bill of Quantities, Revision report, Construction permit issued by Department for urbanism   </w:t>
      </w:r>
    </w:p>
    <w:p>
      <w:pPr>
        <w:pStyle w:val="Normal"/>
        <w:spacing w:before="240" w:after="0"/>
        <w:ind w:left="1134" w:hanging="1134"/>
        <w:jc w:val="both"/>
        <w:rPr>
          <w:b/>
          <w:b/>
          <w:szCs w:val="24"/>
        </w:rPr>
      </w:pPr>
      <w:bookmarkStart w:id="14" w:name="_Toc76894420"/>
      <w:r>
        <w:rPr>
          <w:b/>
          <w:szCs w:val="24"/>
        </w:rPr>
        <w:t>Article 9</w:t>
        <w:tab/>
        <w:t>Access to the site</w:t>
      </w:r>
      <w:bookmarkEnd w:id="14"/>
    </w:p>
    <w:p>
      <w:pPr>
        <w:pStyle w:val="Normal"/>
        <w:spacing w:before="120" w:after="120"/>
        <w:ind w:left="1134" w:hanging="567"/>
        <w:jc w:val="both"/>
        <w:rPr>
          <w:sz w:val="22"/>
          <w:szCs w:val="22"/>
        </w:rPr>
      </w:pPr>
      <w:r>
        <w:rPr>
          <w:bCs/>
          <w:sz w:val="22"/>
          <w:szCs w:val="22"/>
        </w:rPr>
        <w:t>9.1</w:t>
      </w:r>
      <w:r>
        <w:rPr>
          <w:sz w:val="22"/>
          <w:szCs w:val="22"/>
        </w:rPr>
        <w:tab/>
        <w:t>The contractor is reminded that there is a head of delegation of the European Commission in the state of the contracting authority. The contractor is obliged to give the head of delegation free access to its sites, factories, workshops, etc., and generally assist the head of delegation, like the project Supervisor, in the performance of his duties. The same provisions also apply to the appointed representatives of the head of delegation.</w:t>
      </w:r>
    </w:p>
    <w:p>
      <w:pPr>
        <w:pStyle w:val="Normal"/>
        <w:spacing w:before="0" w:after="240"/>
        <w:ind w:left="1134" w:hanging="0"/>
        <w:jc w:val="both"/>
        <w:rPr/>
      </w:pPr>
      <w:r>
        <w:rPr>
          <w:sz w:val="22"/>
          <w:szCs w:val="22"/>
        </w:rPr>
        <w:t>All correspondence between the contractor and the contracting authority or project supervisor must be copied, for information, to the head of delegation of the European Commission at the following official address:</w:t>
      </w:r>
    </w:p>
    <w:p>
      <w:pPr>
        <w:pStyle w:val="Normal"/>
        <w:spacing w:before="0" w:after="240"/>
        <w:ind w:left="1134" w:hanging="0"/>
        <w:jc w:val="both"/>
        <w:rPr>
          <w:b/>
          <w:b/>
          <w:bCs/>
        </w:rPr>
      </w:pPr>
      <w:r>
        <w:rPr>
          <w:b/>
          <w:bCs/>
          <w:sz w:val="22"/>
          <w:szCs w:val="22"/>
          <w:lang w:val="en-US"/>
        </w:rPr>
        <w:t>Delegation of European Union to the Republic of North Macedonia</w:t>
        <w:tab/>
        <w:tab/>
        <w:t xml:space="preserve">        Sv Kiril i Metodij str 52, 1000 Skopje</w:t>
        <w:tab/>
        <w:tab/>
        <w:tab/>
        <w:tab/>
        <w:tab/>
        <w:tab/>
        <w:t xml:space="preserve">                contact - +389 (0) 2 3248 500  / delegation-north-macedonia@eeas.europa.eu</w:t>
      </w:r>
    </w:p>
    <w:p>
      <w:pPr>
        <w:pStyle w:val="Normal"/>
        <w:tabs>
          <w:tab w:val="clear" w:pos="720"/>
          <w:tab w:val="left" w:pos="1134" w:leader="none"/>
        </w:tabs>
        <w:spacing w:before="240" w:after="120"/>
        <w:jc w:val="both"/>
        <w:rPr/>
      </w:pPr>
      <w:r>
        <w:rPr>
          <w:b/>
          <w:bCs/>
          <w:sz w:val="22"/>
          <w:szCs w:val="22"/>
        </w:rPr>
        <w:t>Article 12</w:t>
        <w:tab/>
        <w:t>General obligations</w:t>
      </w:r>
    </w:p>
    <w:p>
      <w:pPr>
        <w:pStyle w:val="Normal"/>
        <w:spacing w:before="0" w:after="120"/>
        <w:ind w:left="1276" w:hanging="556"/>
        <w:jc w:val="both"/>
        <w:rPr/>
      </w:pPr>
      <w:r>
        <w:rPr>
          <w:bCs/>
          <w:sz w:val="22"/>
          <w:szCs w:val="22"/>
        </w:rPr>
        <w:t>12.9</w:t>
        <w:tab/>
      </w:r>
      <w:r>
        <w:rPr>
          <w:bCs/>
          <w:sz w:val="22"/>
          <w:szCs w:val="22"/>
          <w:lang w:val="en-US"/>
        </w:rPr>
        <w:t>General conditions for works are fully applicable.</w:t>
      </w:r>
    </w:p>
    <w:p>
      <w:pPr>
        <w:pStyle w:val="Normal"/>
        <w:spacing w:before="240" w:after="0"/>
        <w:ind w:left="1276" w:hanging="1276"/>
        <w:jc w:val="both"/>
        <w:rPr>
          <w:b/>
          <w:b/>
          <w:szCs w:val="24"/>
        </w:rPr>
      </w:pPr>
      <w:bookmarkStart w:id="15" w:name="_Toc76894421"/>
      <w:r>
        <w:rPr>
          <w:b/>
          <w:szCs w:val="24"/>
        </w:rPr>
        <w:t>Article 15</w:t>
        <w:tab/>
        <w:t>Performance guarantee</w:t>
      </w:r>
      <w:bookmarkEnd w:id="15"/>
    </w:p>
    <w:p>
      <w:pPr>
        <w:pStyle w:val="Normal"/>
        <w:spacing w:before="120" w:after="120"/>
        <w:ind w:left="1276" w:hanging="709"/>
        <w:jc w:val="both"/>
        <w:rPr/>
      </w:pPr>
      <w:r>
        <w:rPr>
          <w:bCs/>
          <w:sz w:val="22"/>
          <w:szCs w:val="22"/>
        </w:rPr>
        <w:t>15.1</w:t>
      </w:r>
      <w:r>
        <w:rPr>
          <w:sz w:val="22"/>
          <w:szCs w:val="22"/>
        </w:rPr>
        <w:tab/>
        <w:t>The amount of the performance guarantee will be</w:t>
      </w:r>
      <w:r>
        <w:rPr>
          <w:sz w:val="22"/>
          <w:szCs w:val="22"/>
          <w:lang w:val="en-US"/>
        </w:rPr>
        <w:t xml:space="preserve"> 5%</w:t>
      </w:r>
      <w:r>
        <w:rPr>
          <w:sz w:val="22"/>
          <w:szCs w:val="22"/>
        </w:rPr>
        <w:t xml:space="preserve"> of the amount of the contract and any addenda thereto. </w:t>
      </w:r>
    </w:p>
    <w:p>
      <w:pPr>
        <w:pStyle w:val="Normal"/>
        <w:spacing w:before="240" w:after="0"/>
        <w:ind w:left="1276" w:hanging="1276"/>
        <w:jc w:val="both"/>
        <w:rPr/>
      </w:pPr>
      <w:bookmarkStart w:id="16" w:name="_Toc76894422"/>
      <w:r>
        <w:rPr>
          <w:b/>
          <w:szCs w:val="24"/>
        </w:rPr>
        <w:t>Article 16</w:t>
        <w:tab/>
      </w:r>
      <w:r>
        <w:rPr>
          <w:b/>
        </w:rPr>
        <w:t>Liabilities</w:t>
      </w:r>
      <w:r>
        <w:rPr>
          <w:b/>
          <w:szCs w:val="24"/>
        </w:rPr>
        <w:t xml:space="preserve"> and insurance</w:t>
      </w:r>
      <w:bookmarkEnd w:id="16"/>
    </w:p>
    <w:p>
      <w:pPr>
        <w:pStyle w:val="Normal"/>
        <w:tabs>
          <w:tab w:val="clear" w:pos="720"/>
          <w:tab w:val="left" w:pos="1276" w:leader="none"/>
        </w:tabs>
        <w:spacing w:before="240" w:after="120"/>
        <w:ind w:left="1276" w:hanging="992"/>
        <w:jc w:val="both"/>
        <w:rPr/>
      </w:pPr>
      <w:r>
        <w:rPr>
          <w:sz w:val="22"/>
          <w:szCs w:val="22"/>
        </w:rPr>
        <w:t>16.</w:t>
      </w:r>
      <w:r>
        <w:rPr>
          <w:color w:val="auto"/>
          <w:sz w:val="22"/>
          <w:szCs w:val="22"/>
        </w:rPr>
        <w:t>1 a)</w:t>
        <w:tab/>
        <w:t>“By way of derogation from Article 16.1, a) paragraph 2, of the general conditions, compensation for damage to the works resulting from the contractor's liability in respect of the contracting authority is capped at an amount equal to</w:t>
      </w:r>
      <w:r>
        <w:rPr>
          <w:color w:val="auto"/>
          <w:sz w:val="22"/>
          <w:szCs w:val="22"/>
          <w:lang w:val="en-US"/>
        </w:rPr>
        <w:t xml:space="preserve"> the value of the contract signed</w:t>
      </w:r>
      <w:r>
        <w:rPr>
          <w:color w:val="auto"/>
          <w:sz w:val="22"/>
          <w:szCs w:val="22"/>
        </w:rPr>
        <w:t>”</w:t>
      </w:r>
    </w:p>
    <w:p>
      <w:pPr>
        <w:pStyle w:val="Normal"/>
        <w:tabs>
          <w:tab w:val="clear" w:pos="720"/>
          <w:tab w:val="left" w:pos="1276" w:leader="none"/>
        </w:tabs>
        <w:spacing w:before="240" w:after="120"/>
        <w:ind w:left="1276" w:hanging="992"/>
        <w:jc w:val="both"/>
        <w:rPr/>
      </w:pPr>
      <w:r>
        <w:rPr>
          <w:sz w:val="22"/>
          <w:szCs w:val="22"/>
        </w:rPr>
        <w:t>16.1 b)</w:t>
        <w:tab/>
        <w:t>“By way of derogation from Article 16.1(b), paragraph 2, of the general conditions, compensation for damage resulting from the contractor's liability in respect of the contracting authority is capped at an amount equal to</w:t>
      </w:r>
      <w:r>
        <w:rPr>
          <w:color w:val="auto"/>
          <w:sz w:val="22"/>
          <w:szCs w:val="22"/>
        </w:rPr>
        <w:t>o</w:t>
      </w:r>
      <w:r>
        <w:rPr>
          <w:color w:val="auto"/>
          <w:sz w:val="22"/>
          <w:szCs w:val="22"/>
          <w:lang w:val="en-US"/>
        </w:rPr>
        <w:t xml:space="preserve"> the value of the contract</w:t>
      </w:r>
      <w:r>
        <w:rPr>
          <w:sz w:val="22"/>
          <w:szCs w:val="22"/>
        </w:rPr>
        <w:t>.”</w:t>
      </w:r>
    </w:p>
    <w:p>
      <w:pPr>
        <w:pStyle w:val="Normal"/>
        <w:tabs>
          <w:tab w:val="clear" w:pos="720"/>
          <w:tab w:val="left" w:pos="1276" w:leader="none"/>
        </w:tabs>
        <w:spacing w:before="240" w:after="120"/>
        <w:ind w:left="1276" w:hanging="992"/>
        <w:rPr/>
      </w:pPr>
      <w:r>
        <w:rPr>
          <w:sz w:val="22"/>
          <w:szCs w:val="22"/>
        </w:rPr>
        <w:t>16.2 a)</w:t>
        <w:tab/>
        <w:t xml:space="preserve">By derogation from Article 16.2(a) first paragraph of the general conditions, </w:t>
      </w:r>
      <w:r>
        <w:rPr>
          <w:sz w:val="22"/>
          <w:szCs w:val="22"/>
          <w:lang w:val="en-US"/>
        </w:rPr>
        <w:t>a</w:t>
      </w:r>
      <w:r>
        <w:rPr>
          <w:sz w:val="22"/>
          <w:szCs w:val="22"/>
        </w:rPr>
        <w:t xml:space="preserve">t the latest </w:t>
      </w:r>
      <w:r>
        <w:rPr>
          <w:sz w:val="22"/>
        </w:rPr>
        <w:t xml:space="preserve">together with the return of the countersigned contract, </w:t>
      </w:r>
      <w:r>
        <w:rPr>
          <w:sz w:val="22"/>
          <w:szCs w:val="22"/>
        </w:rPr>
        <w:t xml:space="preserve">the contractor shall </w:t>
      </w:r>
      <w:r>
        <w:rPr>
          <w:color w:val="222222"/>
          <w:sz w:val="22"/>
          <w:szCs w:val="22"/>
        </w:rPr>
        <w:t xml:space="preserve">ensure that </w:t>
      </w:r>
      <w:r>
        <w:rPr>
          <w:sz w:val="22"/>
          <w:szCs w:val="22"/>
        </w:rPr>
        <w:t>itself, its personnel, its subcontractors and any person for which the contractor is answerable</w:t>
      </w:r>
      <w:r>
        <w:rPr>
          <w:color w:val="222222"/>
          <w:sz w:val="22"/>
          <w:szCs w:val="22"/>
        </w:rPr>
        <w:t>, are adequately insured with insurance companies recognized on the international insurance market, unless the contracting authority has given its express written consent on a specific insurance company</w:t>
      </w:r>
      <w:r>
        <w:rPr>
          <w:sz w:val="22"/>
          <w:szCs w:val="22"/>
        </w:rPr>
        <w:t>.</w:t>
      </w:r>
    </w:p>
    <w:p>
      <w:pPr>
        <w:pStyle w:val="Normal"/>
        <w:tabs>
          <w:tab w:val="clear" w:pos="720"/>
          <w:tab w:val="left" w:pos="1276" w:leader="none"/>
        </w:tabs>
        <w:spacing w:before="240" w:after="120"/>
        <w:ind w:left="1276" w:hanging="992"/>
        <w:jc w:val="both"/>
        <w:rPr/>
      </w:pPr>
      <w:r>
        <w:rPr>
          <w:sz w:val="22"/>
          <w:szCs w:val="22"/>
        </w:rPr>
        <w:t>16.2 a)</w:t>
        <w:tab/>
      </w:r>
      <w:r>
        <w:rPr>
          <w:sz w:val="22"/>
          <w:szCs w:val="22"/>
          <w:lang w:val="en-US"/>
        </w:rPr>
        <w:t xml:space="preserve"> </w:t>
      </w:r>
      <w:r>
        <w:rPr>
          <w:bCs/>
          <w:sz w:val="22"/>
          <w:szCs w:val="22"/>
          <w:lang w:val="en-US"/>
        </w:rPr>
        <w:t>General conditions for works are fully applicable.</w:t>
      </w:r>
    </w:p>
    <w:p>
      <w:pPr>
        <w:pStyle w:val="Normal"/>
        <w:spacing w:before="240" w:after="0"/>
        <w:ind w:left="1276" w:hanging="1276"/>
        <w:jc w:val="both"/>
        <w:rPr/>
      </w:pPr>
      <w:bookmarkStart w:id="17" w:name="_Toc76894423"/>
      <w:r>
        <w:rPr>
          <w:b/>
          <w:szCs w:val="24"/>
        </w:rPr>
        <w:t>Article 17</w:t>
        <w:tab/>
        <w:t>Programme</w:t>
      </w:r>
      <w:bookmarkEnd w:id="17"/>
      <w:r>
        <w:rPr>
          <w:b/>
          <w:szCs w:val="24"/>
        </w:rPr>
        <w:t xml:space="preserve"> of implementation of tasks</w:t>
      </w:r>
    </w:p>
    <w:p>
      <w:pPr>
        <w:pStyle w:val="Normal"/>
        <w:spacing w:before="0" w:after="120"/>
        <w:ind w:left="1276" w:hanging="556"/>
        <w:jc w:val="both"/>
        <w:rPr/>
      </w:pPr>
      <w:r>
        <w:rPr>
          <w:bCs/>
          <w:sz w:val="22"/>
          <w:szCs w:val="22"/>
          <w:lang w:val="en-US"/>
        </w:rPr>
        <w:tab/>
        <w:t>General conditions for works are fully applicable</w:t>
      </w:r>
    </w:p>
    <w:p>
      <w:pPr>
        <w:pStyle w:val="Normal"/>
        <w:keepNext w:val="true"/>
        <w:keepLines/>
        <w:spacing w:before="240" w:after="0"/>
        <w:ind w:left="1276" w:hanging="1276"/>
        <w:jc w:val="both"/>
        <w:rPr>
          <w:b/>
          <w:b/>
          <w:szCs w:val="24"/>
        </w:rPr>
      </w:pPr>
      <w:bookmarkStart w:id="18" w:name="_Toc76894425"/>
      <w:r>
        <w:rPr>
          <w:b/>
          <w:szCs w:val="24"/>
        </w:rPr>
        <w:t>Article 19</w:t>
        <w:tab/>
        <w:t>Contractor’s drawings</w:t>
      </w:r>
      <w:bookmarkEnd w:id="18"/>
      <w:r>
        <w:rPr>
          <w:b/>
          <w:szCs w:val="24"/>
        </w:rPr>
        <w:t xml:space="preserve"> and execution studies</w:t>
      </w:r>
    </w:p>
    <w:p>
      <w:pPr>
        <w:pStyle w:val="Normal"/>
        <w:spacing w:before="120" w:after="120"/>
        <w:ind w:left="1276" w:hanging="709"/>
        <w:jc w:val="both"/>
        <w:rPr/>
      </w:pPr>
      <w:r>
        <w:rPr>
          <w:bCs/>
          <w:sz w:val="22"/>
          <w:szCs w:val="22"/>
        </w:rPr>
        <w:t>19.1</w:t>
        <w:tab/>
      </w:r>
      <w:r>
        <w:rPr>
          <w:bCs/>
          <w:sz w:val="22"/>
          <w:szCs w:val="22"/>
          <w:lang w:val="en-US"/>
        </w:rPr>
        <w:t>General conditions for works are fully applicable</w:t>
      </w:r>
    </w:p>
    <w:p>
      <w:pPr>
        <w:pStyle w:val="Normal"/>
        <w:spacing w:before="120" w:after="120"/>
        <w:ind w:left="1276" w:hanging="709"/>
        <w:jc w:val="both"/>
        <w:rPr>
          <w:sz w:val="22"/>
        </w:rPr>
      </w:pPr>
      <w:r>
        <w:rPr>
          <w:bCs/>
          <w:sz w:val="22"/>
          <w:szCs w:val="22"/>
        </w:rPr>
        <w:t>19.7</w:t>
        <w:tab/>
        <w:t xml:space="preserve">Before provisional acceptance of the works, the </w:t>
      </w:r>
      <w:r>
        <w:rPr>
          <w:sz w:val="22"/>
        </w:rPr>
        <w:t xml:space="preserve">contractor shall supply operation and maintenance manuals together with drawings to the contracting authority, which shall be in such detail as will enable the contracting authority to operate, maintain, adjust and repair all parts of the works. Unless otherwise stated in the special conditions, the manuals and drawings shall be in the language of the contract. The works shall not be considered to be completed for the purpose of provisional acceptance until such manuals and drawings have been supplied to the contracting authority. </w:t>
      </w:r>
    </w:p>
    <w:p>
      <w:pPr>
        <w:pStyle w:val="Normal"/>
        <w:spacing w:before="240" w:after="0"/>
        <w:ind w:left="1276" w:hanging="1276"/>
        <w:jc w:val="both"/>
        <w:rPr>
          <w:b/>
          <w:b/>
          <w:szCs w:val="24"/>
        </w:rPr>
      </w:pPr>
      <w:r>
        <w:rPr>
          <w:b/>
          <w:szCs w:val="24"/>
        </w:rPr>
        <w:t>Article 20</w:t>
        <w:tab/>
        <w:t>Sufficiency of tender prices</w:t>
      </w:r>
    </w:p>
    <w:p>
      <w:pPr>
        <w:pStyle w:val="Normal"/>
        <w:spacing w:before="120" w:after="120"/>
        <w:ind w:left="1276" w:hanging="709"/>
        <w:jc w:val="both"/>
        <w:rPr/>
      </w:pPr>
      <w:r>
        <w:rPr>
          <w:bCs/>
          <w:sz w:val="22"/>
          <w:szCs w:val="22"/>
          <w:lang w:val="en-US"/>
        </w:rPr>
        <w:tab/>
        <w:t>General conditions for works are fully applicable</w:t>
        <w:tab/>
      </w:r>
    </w:p>
    <w:p>
      <w:pPr>
        <w:pStyle w:val="Normal"/>
        <w:spacing w:before="240" w:after="0"/>
        <w:ind w:left="1276" w:hanging="1276"/>
        <w:jc w:val="both"/>
        <w:rPr>
          <w:b/>
          <w:b/>
          <w:szCs w:val="24"/>
        </w:rPr>
      </w:pPr>
      <w:r>
        <w:rPr>
          <w:b/>
          <w:szCs w:val="24"/>
        </w:rPr>
        <w:t>Article 21</w:t>
        <w:tab/>
        <w:t>Exceptional risks</w:t>
      </w:r>
    </w:p>
    <w:p>
      <w:pPr>
        <w:pStyle w:val="Normal"/>
        <w:spacing w:before="120" w:after="120"/>
        <w:ind w:left="1276" w:hanging="709"/>
        <w:jc w:val="both"/>
        <w:rPr/>
      </w:pPr>
      <w:r>
        <w:rPr>
          <w:sz w:val="22"/>
          <w:szCs w:val="22"/>
        </w:rPr>
        <w:t>21.4</w:t>
        <w:tab/>
        <w:t xml:space="preserve">Weather conditions shall not entitle the </w:t>
      </w:r>
      <w:r>
        <w:rPr>
          <w:sz w:val="22"/>
        </w:rPr>
        <w:t xml:space="preserve">contractor to claims under Article 55 </w:t>
      </w:r>
      <w:r>
        <w:rPr>
          <w:sz w:val="22"/>
          <w:lang w:val="en-US"/>
        </w:rPr>
        <w:t xml:space="preserve">from the General conditions. </w:t>
      </w:r>
    </w:p>
    <w:p>
      <w:pPr>
        <w:pStyle w:val="Normal"/>
        <w:spacing w:before="240" w:after="0"/>
        <w:ind w:left="1276" w:hanging="1276"/>
        <w:jc w:val="both"/>
        <w:rPr>
          <w:b/>
          <w:b/>
          <w:szCs w:val="24"/>
        </w:rPr>
      </w:pPr>
      <w:bookmarkStart w:id="19" w:name="_Toc76894426"/>
      <w:r>
        <w:rPr>
          <w:b/>
          <w:szCs w:val="24"/>
        </w:rPr>
        <w:t>Article 24</w:t>
        <w:tab/>
        <w:t>Interference with traffic</w:t>
      </w:r>
      <w:bookmarkEnd w:id="19"/>
    </w:p>
    <w:p>
      <w:pPr>
        <w:pStyle w:val="Normal"/>
        <w:spacing w:before="120" w:after="120"/>
        <w:ind w:left="1276" w:hanging="709"/>
        <w:jc w:val="both"/>
        <w:rPr/>
      </w:pPr>
      <w:r>
        <w:rPr>
          <w:bCs/>
          <w:sz w:val="22"/>
          <w:szCs w:val="22"/>
        </w:rPr>
        <w:t>24.1</w:t>
        <w:tab/>
      </w:r>
      <w:r>
        <w:rPr>
          <w:bCs/>
          <w:sz w:val="22"/>
          <w:szCs w:val="22"/>
          <w:lang w:val="en-US"/>
        </w:rPr>
        <w:t>Article 24.1 from the General conditions for works is fully applicable</w:t>
        <w:tab/>
      </w:r>
    </w:p>
    <w:p>
      <w:pPr>
        <w:pStyle w:val="Normal"/>
        <w:spacing w:before="120" w:after="120"/>
        <w:ind w:left="1276" w:hanging="709"/>
        <w:jc w:val="both"/>
        <w:rPr/>
      </w:pPr>
      <w:r>
        <w:rPr>
          <w:bCs/>
          <w:sz w:val="22"/>
          <w:szCs w:val="22"/>
        </w:rPr>
        <w:t>24.2</w:t>
        <w:tab/>
      </w:r>
      <w:r>
        <w:rPr>
          <w:bCs/>
          <w:sz w:val="22"/>
          <w:szCs w:val="22"/>
          <w:lang w:val="en-US"/>
        </w:rPr>
        <w:t>Article 24.2 from the General conditions for works is fully applicable</w:t>
        <w:tab/>
      </w:r>
    </w:p>
    <w:p>
      <w:pPr>
        <w:pStyle w:val="Normal"/>
        <w:spacing w:before="240" w:after="0"/>
        <w:ind w:left="1276" w:hanging="1276"/>
        <w:jc w:val="both"/>
        <w:rPr>
          <w:b/>
          <w:b/>
          <w:szCs w:val="24"/>
        </w:rPr>
      </w:pPr>
      <w:bookmarkStart w:id="20" w:name="_Toc76894427"/>
      <w:r>
        <w:rPr>
          <w:b/>
          <w:szCs w:val="24"/>
        </w:rPr>
        <w:t>Article 27</w:t>
        <w:tab/>
        <w:t>Demolished materials</w:t>
      </w:r>
      <w:bookmarkEnd w:id="20"/>
    </w:p>
    <w:p>
      <w:pPr>
        <w:pStyle w:val="Normal"/>
        <w:spacing w:before="120" w:after="120"/>
        <w:ind w:left="1276" w:hanging="709"/>
        <w:jc w:val="both"/>
        <w:rPr/>
      </w:pPr>
      <w:r>
        <w:rPr>
          <w:bCs/>
          <w:sz w:val="22"/>
          <w:szCs w:val="22"/>
        </w:rPr>
        <w:t>27.2</w:t>
        <w:tab/>
        <w:t xml:space="preserve">Should the </w:t>
      </w:r>
      <w:r>
        <w:rPr>
          <w:sz w:val="22"/>
        </w:rPr>
        <w:t xml:space="preserve">special conditions reserve to the contracting authority the right of ownership of materials or all or part of the articles obtained from the demolition work, the contractor shall take all the necessary precautions to ensure that these are preserved. It shall be liable for any destruction of, or damage to, such materials or articles caused by it or its agents. </w:t>
      </w:r>
    </w:p>
    <w:p>
      <w:pPr>
        <w:pStyle w:val="Normal"/>
        <w:spacing w:before="120" w:after="120"/>
        <w:ind w:left="1276" w:hanging="709"/>
        <w:jc w:val="both"/>
        <w:rPr/>
      </w:pPr>
      <w:r>
        <w:rPr>
          <w:bCs/>
          <w:sz w:val="22"/>
          <w:szCs w:val="22"/>
        </w:rPr>
        <w:t>27.4</w:t>
        <w:tab/>
        <w:t xml:space="preserve">Save where the </w:t>
      </w:r>
      <w:r>
        <w:rPr>
          <w:sz w:val="22"/>
        </w:rPr>
        <w:t xml:space="preserve">special conditions provide otherwise, the contractor shall, at its expense, progressively remove rubble and other demolition materials, rubbish and debris from the site. </w:t>
      </w:r>
    </w:p>
    <w:p>
      <w:pPr>
        <w:pStyle w:val="Normal"/>
        <w:spacing w:before="240" w:after="0"/>
        <w:ind w:left="1276" w:hanging="1276"/>
        <w:jc w:val="both"/>
        <w:rPr>
          <w:b/>
          <w:b/>
          <w:szCs w:val="24"/>
        </w:rPr>
      </w:pPr>
      <w:r>
        <w:rPr>
          <w:b/>
          <w:szCs w:val="24"/>
        </w:rPr>
        <w:t>Article 29</w:t>
        <w:tab/>
        <w:t>Temporary works</w:t>
      </w:r>
    </w:p>
    <w:p>
      <w:pPr>
        <w:pStyle w:val="Normal"/>
        <w:spacing w:before="120" w:after="120"/>
        <w:ind w:left="1276" w:hanging="709"/>
        <w:jc w:val="both"/>
        <w:rPr/>
      </w:pPr>
      <w:r>
        <w:rPr>
          <w:bCs/>
          <w:sz w:val="22"/>
          <w:szCs w:val="22"/>
        </w:rPr>
        <w:t>29.2</w:t>
        <w:tab/>
        <w:t xml:space="preserve">Where the design of particular temporary works is specified in the </w:t>
      </w:r>
      <w:r>
        <w:rPr>
          <w:sz w:val="22"/>
        </w:rPr>
        <w:t xml:space="preserve">special conditions to be the responsibility of the contracting authority, the supervisor shall provide the contractor with all drawings necessary in reasonable time to enable the contractor to undertake the temporary works in accordance with its programme. In such cases, the contracting authority shall be solely responsible for the safety and adequacy of the design. However, the contractor shall be responsible for the proper construction. </w:t>
      </w:r>
    </w:p>
    <w:p>
      <w:pPr>
        <w:pStyle w:val="Normal"/>
        <w:spacing w:before="240" w:after="0"/>
        <w:ind w:left="1276" w:hanging="1276"/>
        <w:jc w:val="both"/>
        <w:rPr>
          <w:b/>
          <w:b/>
          <w:szCs w:val="24"/>
        </w:rPr>
      </w:pPr>
      <w:bookmarkStart w:id="21" w:name="_Toc76894428"/>
      <w:r>
        <w:rPr>
          <w:b/>
          <w:szCs w:val="24"/>
        </w:rPr>
        <w:t>Article 30</w:t>
        <w:tab/>
        <w:t>Soil studies</w:t>
      </w:r>
      <w:bookmarkEnd w:id="21"/>
    </w:p>
    <w:p>
      <w:pPr>
        <w:pStyle w:val="Normal"/>
        <w:spacing w:before="120" w:after="120"/>
        <w:ind w:left="1276" w:hanging="709"/>
        <w:jc w:val="both"/>
        <w:rPr/>
      </w:pPr>
      <w:r>
        <w:rPr>
          <w:bCs/>
          <w:sz w:val="22"/>
          <w:szCs w:val="22"/>
        </w:rPr>
        <w:t>30.1</w:t>
        <w:tab/>
        <w:t xml:space="preserve">Subject to the </w:t>
      </w:r>
      <w:r>
        <w:rPr>
          <w:sz w:val="22"/>
        </w:rPr>
        <w:t xml:space="preserve">special conditions and to the technical specifications, the contractor shall make available to the supervisor, the personnel and equipment necessary for carrying out any soil survey which the supervisor considers reasonably necessary. The contractor shall be compensated for the actual cost of the manpower and equipment used or made available in such work, plus a reasonable profit, if not already provided for in the contract. </w:t>
      </w:r>
    </w:p>
    <w:p>
      <w:pPr>
        <w:pStyle w:val="Normal"/>
        <w:spacing w:before="240" w:after="0"/>
        <w:ind w:left="1276" w:hanging="1276"/>
        <w:jc w:val="both"/>
        <w:rPr>
          <w:b/>
          <w:b/>
          <w:szCs w:val="24"/>
        </w:rPr>
      </w:pPr>
      <w:bookmarkStart w:id="22" w:name="_Toc76894429"/>
      <w:r>
        <w:rPr>
          <w:b/>
          <w:szCs w:val="24"/>
        </w:rPr>
        <w:t>Article 32</w:t>
        <w:tab/>
        <w:t>Patents and licenses</w:t>
      </w:r>
      <w:bookmarkEnd w:id="22"/>
    </w:p>
    <w:p>
      <w:pPr>
        <w:pStyle w:val="Normal"/>
        <w:spacing w:before="120" w:after="120"/>
        <w:ind w:left="1276" w:hanging="709"/>
        <w:jc w:val="both"/>
        <w:rPr/>
      </w:pPr>
      <w:r>
        <w:rPr>
          <w:bCs/>
          <w:sz w:val="22"/>
          <w:szCs w:val="22"/>
        </w:rPr>
        <w:t>32.1</w:t>
        <w:tab/>
      </w:r>
      <w:r>
        <w:rPr>
          <w:bCs/>
          <w:sz w:val="22"/>
          <w:szCs w:val="22"/>
          <w:lang w:val="en-US"/>
        </w:rPr>
        <w:t xml:space="preserve">No derogations from Article 32 of the </w:t>
      </w:r>
      <w:r>
        <w:rPr>
          <w:sz w:val="22"/>
          <w:szCs w:val="22"/>
        </w:rPr>
        <w:t>general conditions.</w:t>
      </w:r>
    </w:p>
    <w:p>
      <w:pPr>
        <w:pStyle w:val="Normal"/>
        <w:spacing w:before="240" w:after="0"/>
        <w:ind w:left="1276" w:hanging="1276"/>
        <w:jc w:val="both"/>
        <w:rPr>
          <w:b/>
          <w:b/>
          <w:szCs w:val="24"/>
        </w:rPr>
      </w:pPr>
      <w:bookmarkStart w:id="23" w:name="_Toc76894431"/>
      <w:r>
        <w:rPr>
          <w:b/>
          <w:szCs w:val="24"/>
        </w:rPr>
        <w:t>Article 34</w:t>
        <w:tab/>
        <w:t>Period of implementation of tasks</w:t>
      </w:r>
      <w:bookmarkEnd w:id="23"/>
    </w:p>
    <w:p>
      <w:pPr>
        <w:pStyle w:val="Title"/>
        <w:ind w:left="1276" w:hanging="709"/>
        <w:jc w:val="both"/>
        <w:rPr/>
      </w:pPr>
      <w:r>
        <w:rPr>
          <w:rFonts w:ascii="Times New Roman" w:hAnsi="Times New Roman"/>
          <w:b w:val="false"/>
          <w:sz w:val="22"/>
          <w:szCs w:val="22"/>
          <w:lang w:val="en-GB"/>
        </w:rPr>
        <w:t>34.1</w:t>
      </w:r>
      <w:r>
        <w:rPr>
          <w:rFonts w:ascii="Times New Roman" w:hAnsi="Times New Roman"/>
          <w:b w:val="false"/>
          <w:bCs/>
          <w:sz w:val="22"/>
          <w:szCs w:val="22"/>
          <w:lang w:val="en-GB"/>
        </w:rPr>
        <w:tab/>
        <w:t>The</w:t>
      </w:r>
      <w:r>
        <w:rPr>
          <w:rFonts w:ascii="Times New Roman" w:hAnsi="Times New Roman"/>
          <w:b w:val="false"/>
          <w:bCs/>
          <w:sz w:val="22"/>
          <w:szCs w:val="22"/>
          <w:lang w:val="en-US"/>
        </w:rPr>
        <w:t xml:space="preserve"> period of implementation of tasks is estimated to be no longer than twelve (12) months from the commencement date of the contract. </w:t>
      </w:r>
    </w:p>
    <w:p>
      <w:pPr>
        <w:pStyle w:val="Normal"/>
        <w:spacing w:before="240" w:after="0"/>
        <w:ind w:left="1276" w:hanging="1276"/>
        <w:jc w:val="both"/>
        <w:rPr>
          <w:b/>
          <w:b/>
          <w:szCs w:val="24"/>
        </w:rPr>
      </w:pPr>
      <w:bookmarkStart w:id="24" w:name="_Toc76894432"/>
      <w:r>
        <w:rPr>
          <w:b/>
          <w:szCs w:val="24"/>
        </w:rPr>
        <w:t>Article 36</w:t>
        <w:tab/>
        <w:t>Delays in the implementation of tasks</w:t>
      </w:r>
      <w:bookmarkEnd w:id="24"/>
    </w:p>
    <w:p>
      <w:pPr>
        <w:pStyle w:val="Normal"/>
        <w:spacing w:before="120" w:after="120"/>
        <w:ind w:left="1276" w:hanging="709"/>
        <w:jc w:val="both"/>
        <w:rPr/>
      </w:pPr>
      <w:r>
        <w:rPr>
          <w:bCs/>
          <w:sz w:val="22"/>
          <w:szCs w:val="22"/>
        </w:rPr>
        <w:t>36.1</w:t>
        <w:tab/>
      </w:r>
      <w:r>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Pr>
          <w:w w:val="50"/>
          <w:sz w:val="22"/>
          <w:szCs w:val="22"/>
        </w:rPr>
        <w:t> </w:t>
      </w:r>
      <w:r>
        <w:rPr>
          <w:sz w:val="22"/>
          <w:szCs w:val="22"/>
        </w:rPr>
        <w:t>% of the contract price or, if the contract is subdivided into phases, 10% of the price of the phase concerned.</w:t>
      </w:r>
    </w:p>
    <w:p>
      <w:pPr>
        <w:pStyle w:val="Normal"/>
        <w:spacing w:before="240" w:after="0"/>
        <w:ind w:left="1276" w:hanging="1276"/>
        <w:jc w:val="both"/>
        <w:rPr>
          <w:b/>
          <w:b/>
          <w:szCs w:val="24"/>
        </w:rPr>
      </w:pPr>
      <w:bookmarkStart w:id="25" w:name="_Toc76894434"/>
      <w:r>
        <w:rPr>
          <w:b/>
          <w:szCs w:val="24"/>
        </w:rPr>
        <w:t>Article 39</w:t>
        <w:tab/>
        <w:t>Work register</w:t>
      </w:r>
      <w:bookmarkEnd w:id="25"/>
    </w:p>
    <w:p>
      <w:pPr>
        <w:pStyle w:val="Normal"/>
        <w:spacing w:before="120" w:after="120"/>
        <w:ind w:left="1276" w:hanging="709"/>
        <w:jc w:val="both"/>
        <w:rPr/>
      </w:pPr>
      <w:r>
        <w:rPr>
          <w:bCs/>
          <w:sz w:val="22"/>
          <w:szCs w:val="22"/>
        </w:rPr>
        <w:t>39.1</w:t>
        <w:tab/>
        <w:t xml:space="preserve">A </w:t>
      </w:r>
      <w:r>
        <w:rPr>
          <w:sz w:val="22"/>
        </w:rPr>
        <w:t xml:space="preserve">work register shall, unless otherwise provided by the special conditions, be kept on the site by the supervisor, who shall enter in it at least the following information: </w:t>
      </w:r>
    </w:p>
    <w:p>
      <w:pPr>
        <w:pStyle w:val="Default"/>
        <w:rPr/>
      </w:pPr>
      <w:r>
        <w:rPr>
          <w:strike w:val="false"/>
          <w:dstrike w:val="false"/>
          <w:sz w:val="22"/>
          <w:u w:val="none"/>
        </w:rPr>
        <w:tab/>
        <w:tab/>
        <w:t xml:space="preserve">a) the weather conditions, interruptions of work owing to inclement weather, hours of </w:t>
        <w:tab/>
        <w:tab/>
        <w:t xml:space="preserve">work, </w:t>
        <w:tab/>
        <w:t xml:space="preserve">number and type of workmen employed on the site, materials supplied, </w:t>
        <w:tab/>
        <w:tab/>
        <w:tab/>
        <w:t xml:space="preserve">equipment in </w:t>
        <w:tab/>
        <w:t xml:space="preserve">use, </w:t>
        <w:tab/>
        <w:t xml:space="preserve">equipment not in working order, tests carried out in situ, </w:t>
        <w:tab/>
        <w:tab/>
        <w:tab/>
        <w:t xml:space="preserve">samples dispatched, unforeseen </w:t>
        <w:tab/>
        <w:t xml:space="preserve">circumstances, as well as orders given to the contractor; </w:t>
      </w:r>
    </w:p>
    <w:p>
      <w:pPr>
        <w:pStyle w:val="Normal"/>
        <w:spacing w:before="120" w:after="120"/>
        <w:ind w:left="1276" w:hanging="709"/>
        <w:jc w:val="both"/>
        <w:rPr/>
      </w:pPr>
      <w:r>
        <w:rPr>
          <w:strike w:val="false"/>
          <w:dstrike w:val="false"/>
          <w:sz w:val="22"/>
          <w:u w:val="none"/>
        </w:rPr>
        <w:tab/>
        <w:t xml:space="preserve">b) detailed statements of all the quantitative and qualitative elements of the work done and the supplies delivered and used, capable of being checked on the site and relevant in calculating payments to be made to the contractor. </w:t>
      </w:r>
    </w:p>
    <w:p>
      <w:pPr>
        <w:pStyle w:val="Normal"/>
        <w:spacing w:before="120" w:after="120"/>
        <w:ind w:left="1276" w:hanging="709"/>
        <w:jc w:val="both"/>
        <w:rPr/>
      </w:pPr>
      <w:r>
        <w:rPr>
          <w:bCs/>
          <w:sz w:val="22"/>
          <w:szCs w:val="22"/>
        </w:rPr>
        <w:t>39.2</w:t>
        <w:tab/>
        <w:t xml:space="preserve">The statements shall form an integral part of </w:t>
      </w:r>
      <w:r>
        <w:rPr>
          <w:sz w:val="22"/>
        </w:rPr>
        <w:t xml:space="preserve">the work register but may, where appropriate, be recorded in separate documents. The technical rules for drawing up the statements shall be as set out in the special conditions. </w:t>
      </w:r>
    </w:p>
    <w:p>
      <w:pPr>
        <w:pStyle w:val="Normal"/>
        <w:spacing w:before="240" w:after="0"/>
        <w:ind w:left="1276" w:hanging="1276"/>
        <w:jc w:val="both"/>
        <w:rPr>
          <w:b/>
          <w:b/>
          <w:szCs w:val="24"/>
        </w:rPr>
      </w:pPr>
      <w:bookmarkStart w:id="26" w:name="_Toc76894435"/>
      <w:r>
        <w:rPr>
          <w:b/>
          <w:szCs w:val="24"/>
        </w:rPr>
        <w:t>Article 40</w:t>
        <w:tab/>
        <w:t>Origin and quality of works and materials</w:t>
      </w:r>
      <w:bookmarkEnd w:id="26"/>
    </w:p>
    <w:p>
      <w:pPr>
        <w:pStyle w:val="Pointarticle"/>
        <w:rPr/>
      </w:pPr>
      <w:r>
        <w:rPr/>
        <w:t>40.1</w:t>
        <w:tab/>
        <w:t>All goods purchased and materials under the contract may originate in any country.</w:t>
      </w:r>
    </w:p>
    <w:p>
      <w:pPr>
        <w:pStyle w:val="Normal"/>
        <w:spacing w:before="120" w:after="120"/>
        <w:ind w:left="1276" w:hanging="709"/>
        <w:jc w:val="both"/>
        <w:rPr/>
      </w:pPr>
      <w:r>
        <w:rPr>
          <w:bCs/>
          <w:sz w:val="22"/>
          <w:szCs w:val="22"/>
        </w:rPr>
        <w:t>40.2</w:t>
        <w:tab/>
        <w:t xml:space="preserve">Save </w:t>
      </w:r>
      <w:r>
        <w:rPr>
          <w:sz w:val="22"/>
        </w:rPr>
        <w:t xml:space="preserve">where otherwise provided for in the special conditions, all goods purchased under the contract shall have their origin in any eligible source country as defined in the invitation to tender. The contractor must certify that the goods tendered comply with this requirement, specifying their countries of origin. It may be required to provide more detailed information in this respect. Failure to comply with this condition may result in the termination of the contract and/or suspension of payment. </w:t>
      </w:r>
    </w:p>
    <w:p>
      <w:pPr>
        <w:pStyle w:val="Normal"/>
        <w:spacing w:before="120" w:after="120"/>
        <w:ind w:left="1276" w:hanging="709"/>
        <w:jc w:val="both"/>
        <w:rPr/>
      </w:pPr>
      <w:r>
        <w:rPr>
          <w:bCs/>
          <w:sz w:val="22"/>
          <w:szCs w:val="22"/>
        </w:rPr>
        <w:t>40.3</w:t>
      </w:r>
      <w:r>
        <w:rPr>
          <w:sz w:val="22"/>
          <w:szCs w:val="22"/>
        </w:rPr>
        <w:tab/>
        <w:t xml:space="preserve">The works, components and materials shall conform to the specifications, drawings, </w:t>
      </w:r>
      <w:r>
        <w:rPr>
          <w:sz w:val="22"/>
        </w:rPr>
        <w:t xml:space="preserve">surveys, models, samples, patterns and other requirements in the contract which shall be held at the disposal of the contracting authority or the supervisor for the purposes of identification throughout the period of performance. </w:t>
      </w:r>
    </w:p>
    <w:p>
      <w:pPr>
        <w:pStyle w:val="Normal"/>
        <w:spacing w:before="240" w:after="0"/>
        <w:ind w:left="1276" w:hanging="1276"/>
        <w:jc w:val="both"/>
        <w:rPr>
          <w:b/>
          <w:b/>
          <w:szCs w:val="24"/>
        </w:rPr>
      </w:pPr>
      <w:bookmarkStart w:id="27" w:name="_Toc76894436"/>
      <w:r>
        <w:rPr>
          <w:b/>
          <w:szCs w:val="24"/>
        </w:rPr>
        <w:t>Article 41</w:t>
        <w:tab/>
        <w:t>Inspection and testing</w:t>
      </w:r>
      <w:bookmarkEnd w:id="27"/>
    </w:p>
    <w:p>
      <w:pPr>
        <w:pStyle w:val="Normal"/>
        <w:spacing w:before="120" w:after="120"/>
        <w:ind w:left="1276" w:hanging="709"/>
        <w:jc w:val="both"/>
        <w:rPr/>
      </w:pPr>
      <w:r>
        <w:rPr>
          <w:bCs/>
          <w:sz w:val="22"/>
          <w:szCs w:val="22"/>
          <w:lang w:val="en-US"/>
        </w:rPr>
        <w:tab/>
        <w:t>Article 41 from general conditions is fully applicable</w:t>
        <w:tab/>
      </w:r>
    </w:p>
    <w:p>
      <w:pPr>
        <w:pStyle w:val="Normal"/>
        <w:spacing w:before="240" w:after="0"/>
        <w:ind w:left="1276" w:hanging="1276"/>
        <w:jc w:val="both"/>
        <w:rPr>
          <w:b/>
          <w:b/>
          <w:szCs w:val="24"/>
        </w:rPr>
      </w:pPr>
      <w:bookmarkStart w:id="28" w:name="_Toc76894437"/>
      <w:r>
        <w:rPr>
          <w:b/>
          <w:szCs w:val="24"/>
        </w:rPr>
        <w:t>Article 43</w:t>
        <w:tab/>
        <w:t>Ownership of plant and materials</w:t>
      </w:r>
      <w:bookmarkEnd w:id="28"/>
    </w:p>
    <w:p>
      <w:pPr>
        <w:pStyle w:val="Normal"/>
        <w:spacing w:before="120" w:after="120"/>
        <w:ind w:left="1276" w:hanging="709"/>
        <w:jc w:val="both"/>
        <w:rPr/>
      </w:pPr>
      <w:r>
        <w:rPr>
          <w:bCs/>
          <w:sz w:val="22"/>
          <w:szCs w:val="22"/>
        </w:rPr>
        <w:t>43.2</w:t>
        <w:tab/>
        <w:t xml:space="preserve"> </w:t>
      </w:r>
      <w:r>
        <w:rPr>
          <w:bCs/>
          <w:sz w:val="22"/>
          <w:szCs w:val="22"/>
          <w:lang w:val="en-US"/>
        </w:rPr>
        <w:t>Article 43 from general conditions is fully applicable</w:t>
      </w:r>
    </w:p>
    <w:p>
      <w:pPr>
        <w:pStyle w:val="Normal"/>
        <w:spacing w:before="240" w:after="0"/>
        <w:ind w:left="1276" w:hanging="1276"/>
        <w:jc w:val="both"/>
        <w:rPr>
          <w:b/>
          <w:b/>
          <w:szCs w:val="24"/>
        </w:rPr>
      </w:pPr>
      <w:bookmarkStart w:id="29" w:name="_Toc76894438"/>
      <w:r>
        <w:rPr>
          <w:b/>
          <w:szCs w:val="24"/>
        </w:rPr>
        <w:t>Article 44:</w:t>
        <w:tab/>
        <w:t>General principles for payments</w:t>
      </w:r>
      <w:bookmarkEnd w:id="29"/>
    </w:p>
    <w:p>
      <w:pPr>
        <w:pStyle w:val="Normal"/>
        <w:tabs>
          <w:tab w:val="clear" w:pos="720"/>
          <w:tab w:val="right" w:pos="9885" w:leader="none"/>
        </w:tabs>
        <w:spacing w:before="120" w:after="120"/>
        <w:ind w:left="1276" w:hanging="709"/>
        <w:jc w:val="both"/>
        <w:rPr/>
      </w:pPr>
      <w:r>
        <w:rPr>
          <w:bCs/>
          <w:sz w:val="22"/>
          <w:szCs w:val="22"/>
        </w:rPr>
        <w:t>44.1</w:t>
      </w:r>
      <w:r>
        <w:rPr>
          <w:sz w:val="22"/>
          <w:szCs w:val="22"/>
        </w:rPr>
        <w:tab/>
        <w:t xml:space="preserve">Payments shall be made in euro. </w:t>
      </w:r>
    </w:p>
    <w:p>
      <w:pPr>
        <w:pStyle w:val="Normal"/>
        <w:spacing w:before="120" w:after="120"/>
        <w:ind w:left="1276" w:hanging="709"/>
        <w:jc w:val="both"/>
        <w:rPr/>
      </w:pPr>
      <w:r>
        <w:rPr>
          <w:sz w:val="22"/>
          <w:szCs w:val="22"/>
        </w:rPr>
        <w:t>44.3</w:t>
        <w:tab/>
      </w:r>
      <w:r>
        <w:rPr>
          <w:sz w:val="22"/>
          <w:szCs w:val="22"/>
          <w:lang w:val="en-US"/>
        </w:rPr>
        <w:t>No derogation from the Article 44.3 from the general conditions</w:t>
      </w:r>
    </w:p>
    <w:p>
      <w:pPr>
        <w:pStyle w:val="Normal"/>
        <w:spacing w:before="240" w:after="0"/>
        <w:ind w:left="1276" w:hanging="1276"/>
        <w:jc w:val="both"/>
        <w:rPr/>
      </w:pPr>
      <w:r>
        <w:rPr>
          <w:b/>
          <w:szCs w:val="24"/>
        </w:rPr>
        <w:t>Article 46</w:t>
        <w:tab/>
        <w:t>Pre-financing</w:t>
      </w:r>
    </w:p>
    <w:p>
      <w:pPr>
        <w:pStyle w:val="Normal"/>
        <w:spacing w:before="120" w:after="120"/>
        <w:ind w:left="1276" w:hanging="709"/>
        <w:jc w:val="both"/>
        <w:rPr/>
      </w:pPr>
      <w:r>
        <w:rPr>
          <w:sz w:val="22"/>
          <w:szCs w:val="22"/>
        </w:rPr>
        <w:t>46.1</w:t>
        <w:tab/>
      </w:r>
      <w:r>
        <w:rPr>
          <w:sz w:val="22"/>
          <w:szCs w:val="22"/>
          <w:lang w:val="en-US"/>
        </w:rPr>
        <w:t>P</w:t>
      </w:r>
      <w:r>
        <w:rPr>
          <w:sz w:val="22"/>
          <w:szCs w:val="22"/>
        </w:rPr>
        <w:t>re</w:t>
      </w:r>
      <w:r>
        <w:rPr>
          <w:sz w:val="22"/>
        </w:rPr>
        <w:t>-financing may be granted to the contractor, at its request and before the first interim payment takes place, for operations connected with the implementation of the tasks</w:t>
      </w:r>
      <w:r>
        <w:rPr>
          <w:sz w:val="22"/>
          <w:szCs w:val="22"/>
        </w:rPr>
        <w:t xml:space="preserve"> </w:t>
      </w:r>
      <w:r>
        <w:rPr>
          <w:sz w:val="22"/>
          <w:szCs w:val="22"/>
          <w:lang w:val="en-US"/>
        </w:rPr>
        <w:t xml:space="preserve">after signing of the works contract. </w:t>
      </w:r>
    </w:p>
    <w:p>
      <w:pPr>
        <w:pStyle w:val="Normal"/>
        <w:spacing w:before="120" w:after="120"/>
        <w:ind w:left="1276" w:hanging="709"/>
        <w:jc w:val="both"/>
        <w:rPr/>
      </w:pPr>
      <w:r>
        <w:rPr>
          <w:sz w:val="22"/>
          <w:szCs w:val="22"/>
        </w:rPr>
        <w:t>46.2</w:t>
        <w:tab/>
      </w:r>
      <w:r>
        <w:rPr>
          <w:sz w:val="22"/>
          <w:szCs w:val="22"/>
          <w:lang w:val="en-US"/>
        </w:rPr>
        <w:t xml:space="preserve">The pre-financing is allowed in amount up to 20% after signing of the works contract, on official request of the contractor. </w:t>
      </w:r>
    </w:p>
    <w:p>
      <w:pPr>
        <w:pStyle w:val="Normal"/>
        <w:keepNext w:val="true"/>
        <w:tabs>
          <w:tab w:val="clear" w:pos="720"/>
          <w:tab w:val="left" w:pos="993" w:leader="none"/>
        </w:tabs>
        <w:ind w:left="1276" w:hanging="709"/>
        <w:jc w:val="both"/>
        <w:rPr/>
      </w:pPr>
      <w:r>
        <w:rPr>
          <w:sz w:val="22"/>
          <w:szCs w:val="22"/>
        </w:rPr>
        <w:t>46.3(c)</w:t>
        <w:tab/>
        <w:t>When</w:t>
      </w:r>
      <w:r>
        <w:rPr>
          <w:bCs/>
          <w:sz w:val="22"/>
          <w:szCs w:val="22"/>
        </w:rPr>
        <w:t xml:space="preserve"> (i) the pre-financing requested is equal or below EUR 300 000 </w:t>
      </w:r>
      <w:r>
        <w:rPr>
          <w:b/>
          <w:bCs/>
          <w:sz w:val="22"/>
          <w:szCs w:val="22"/>
        </w:rPr>
        <w:t>and</w:t>
      </w:r>
      <w:r>
        <w:rPr>
          <w:bCs/>
          <w:sz w:val="22"/>
          <w:szCs w:val="22"/>
        </w:rPr>
        <w:t xml:space="preserve"> (ii) the contracting authority does not require a financial guarantee following a risk assessment, by derogation from Article 46.3(c)</w:t>
      </w:r>
      <w:r>
        <w:rPr>
          <w:sz w:val="22"/>
          <w:szCs w:val="22"/>
        </w:rPr>
        <w:t xml:space="preserve"> of the general conditions </w:t>
      </w:r>
      <w:r>
        <w:rPr>
          <w:bCs/>
          <w:sz w:val="22"/>
          <w:szCs w:val="22"/>
        </w:rPr>
        <w:t>no pre-financing guarantee is required.</w:t>
      </w:r>
    </w:p>
    <w:p>
      <w:pPr>
        <w:pStyle w:val="Normal"/>
        <w:keepNext w:val="true"/>
        <w:tabs>
          <w:tab w:val="clear" w:pos="720"/>
          <w:tab w:val="left" w:pos="993" w:leader="none"/>
        </w:tabs>
        <w:ind w:left="1276" w:hanging="709"/>
        <w:rPr>
          <w:sz w:val="22"/>
          <w:szCs w:val="22"/>
        </w:rPr>
      </w:pPr>
      <w:r>
        <w:rPr>
          <w:sz w:val="22"/>
          <w:szCs w:val="22"/>
        </w:rPr>
      </w:r>
    </w:p>
    <w:p>
      <w:pPr>
        <w:pStyle w:val="Normal"/>
        <w:spacing w:before="120" w:after="120"/>
        <w:ind w:left="1276" w:hanging="709"/>
        <w:jc w:val="both"/>
        <w:rPr>
          <w:sz w:val="22"/>
          <w:szCs w:val="22"/>
        </w:rPr>
      </w:pPr>
      <w:r>
        <w:rPr>
          <w:bCs/>
          <w:sz w:val="22"/>
          <w:szCs w:val="22"/>
        </w:rPr>
        <w:t>46.8</w:t>
        <w:tab/>
      </w:r>
      <w:r>
        <w:rPr>
          <w:sz w:val="22"/>
          <w:szCs w:val="22"/>
        </w:rPr>
        <w:t>Repayment of the pre-financing shall take the form of deductions based on monthly claims.</w:t>
      </w:r>
    </w:p>
    <w:p>
      <w:pPr>
        <w:pStyle w:val="Normal"/>
        <w:numPr>
          <w:ilvl w:val="0"/>
          <w:numId w:val="2"/>
        </w:numPr>
        <w:spacing w:before="0" w:after="120"/>
        <w:ind w:left="1701" w:hanging="360"/>
        <w:jc w:val="both"/>
        <w:rPr>
          <w:sz w:val="22"/>
          <w:szCs w:val="22"/>
        </w:rPr>
      </w:pPr>
      <w:r>
        <w:rPr>
          <w:sz w:val="22"/>
          <w:szCs w:val="22"/>
        </w:rPr>
        <w:t>The flat</w:t>
        <w:noBreakHyphen/>
        <w:t>rate pre-financing (maximum of 10</w:t>
      </w:r>
      <w:r>
        <w:rPr>
          <w:w w:val="50"/>
          <w:sz w:val="22"/>
          <w:szCs w:val="22"/>
        </w:rPr>
        <w:t> </w:t>
      </w:r>
      <w:r>
        <w:rPr>
          <w:sz w:val="22"/>
          <w:szCs w:val="22"/>
        </w:rPr>
        <w:t>%) shall be repaid by means of deductions from instalments and, if necessary, the balance due to the contractor. This repayment shall begin with the first instalment and be completed, at the very latest, by the time 80</w:t>
      </w:r>
      <w:r>
        <w:rPr>
          <w:w w:val="50"/>
          <w:sz w:val="22"/>
          <w:szCs w:val="22"/>
        </w:rPr>
        <w:t> </w:t>
      </w:r>
      <w:r>
        <w:rPr>
          <w:sz w:val="22"/>
          <w:szCs w:val="22"/>
        </w:rPr>
        <w:t>% of the amount of the contract has been paid.</w:t>
      </w:r>
    </w:p>
    <w:p>
      <w:pPr>
        <w:pStyle w:val="Normal"/>
        <w:spacing w:before="0" w:after="120"/>
        <w:ind w:left="1701" w:hanging="0"/>
        <w:jc w:val="both"/>
        <w:rPr>
          <w:sz w:val="22"/>
          <w:szCs w:val="22"/>
        </w:rPr>
      </w:pPr>
      <w:r>
        <w:rPr>
          <w:sz w:val="22"/>
          <w:szCs w:val="22"/>
        </w:rPr>
        <w:t>Repayment shall be made in the same currency as the pre-financing.</w:t>
      </w:r>
    </w:p>
    <w:p>
      <w:pPr>
        <w:pStyle w:val="Normal"/>
        <w:spacing w:before="0" w:after="120"/>
        <w:ind w:left="1701" w:hanging="0"/>
        <w:jc w:val="both"/>
        <w:rPr>
          <w:sz w:val="22"/>
          <w:szCs w:val="22"/>
        </w:rPr>
      </w:pPr>
      <w:r>
        <w:rPr>
          <w:sz w:val="22"/>
          <w:szCs w:val="22"/>
        </w:rPr>
        <w:t>The amount to be deducted from each instalment shall be calculated using the following formula:</w:t>
      </w:r>
    </w:p>
    <w:p>
      <w:pPr>
        <w:pStyle w:val="Normal"/>
        <w:spacing w:before="0" w:after="120"/>
        <w:ind w:left="1701" w:hanging="0"/>
        <w:jc w:val="both"/>
        <w:rPr>
          <w:sz w:val="22"/>
          <w:szCs w:val="22"/>
        </w:rPr>
      </w:pPr>
      <w:r>
        <w:rPr/>
      </w:r>
      <m:oMath xmlns:m="http://schemas.openxmlformats.org/officeDocument/2006/math">
        <m:r>
          <w:rPr>
            <w:rFonts w:ascii="Cambria Math" w:hAnsi="Cambria Math"/>
          </w:rPr>
          <m:t xml:space="preserve">R</m:t>
        </m:r>
        <m:r>
          <w:rPr>
            <w:rFonts w:ascii="Cambria Math" w:hAnsi="Cambria Math"/>
          </w:rPr>
          <m:t xml:space="preserve">=</m:t>
        </m:r>
        <m:f>
          <m:num>
            <m:r>
              <m:rPr>
                <m:lit/>
                <m:nor/>
              </m:rPr>
              <w:rPr>
                <w:rFonts w:ascii="Cambria Math" w:hAnsi="Cambria Math"/>
              </w:rPr>
              <m:t xml:space="preserve">Va</m:t>
            </m:r>
            <m:r>
              <w:rPr>
                <w:rFonts w:ascii="Cambria Math" w:hAnsi="Cambria Math"/>
              </w:rPr>
              <m:t xml:space="preserve">×</m:t>
            </m:r>
            <m:r>
              <w:rPr>
                <w:rFonts w:ascii="Cambria Math" w:hAnsi="Cambria Math"/>
              </w:rPr>
              <m:t xml:space="preserve">D</m:t>
            </m:r>
          </m:num>
          <m:den>
            <m:r>
              <m:rPr>
                <m:lit/>
                <m:nor/>
              </m:rPr>
              <w:rPr>
                <w:rFonts w:ascii="Cambria Math" w:hAnsi="Cambria Math"/>
              </w:rPr>
              <m:t xml:space="preserve">Vt</m:t>
            </m:r>
            <m:r>
              <w:rPr>
                <w:rFonts w:ascii="Cambria Math" w:hAnsi="Cambria Math"/>
              </w:rPr>
              <m:t xml:space="preserve">×</m:t>
            </m:r>
            <m:r>
              <w:rPr>
                <w:rFonts w:ascii="Cambria Math" w:hAnsi="Cambria Math"/>
              </w:rPr>
              <m:t xml:space="preserve">0</m:t>
            </m:r>
            <m:r>
              <m:rPr>
                <m:lit/>
                <m:nor/>
              </m:rPr>
              <w:rPr>
                <w:rFonts w:ascii="Cambria Math" w:hAnsi="Cambria Math"/>
              </w:rPr>
              <m:t xml:space="preserve">.</m:t>
            </m:r>
            <m:r>
              <w:rPr>
                <w:rFonts w:ascii="Cambria Math" w:hAnsi="Cambria Math"/>
              </w:rPr>
              <m:t xml:space="preserve">8</m:t>
            </m:r>
          </m:den>
        </m:f>
      </m:oMath>
    </w:p>
    <w:p>
      <w:pPr>
        <w:pStyle w:val="Normal"/>
        <w:spacing w:before="0" w:after="120"/>
        <w:ind w:left="1701" w:hanging="0"/>
        <w:jc w:val="both"/>
        <w:rPr>
          <w:sz w:val="22"/>
          <w:szCs w:val="22"/>
        </w:rPr>
      </w:pPr>
      <w:r>
        <w:rPr>
          <w:sz w:val="22"/>
          <w:szCs w:val="22"/>
        </w:rPr>
        <w:t>where:</w:t>
      </w:r>
    </w:p>
    <w:p>
      <w:pPr>
        <w:pStyle w:val="Normal"/>
        <w:ind w:left="1701" w:hanging="0"/>
        <w:jc w:val="both"/>
        <w:rPr>
          <w:sz w:val="22"/>
          <w:szCs w:val="22"/>
        </w:rPr>
      </w:pPr>
      <w:r>
        <w:rPr>
          <w:sz w:val="22"/>
          <w:szCs w:val="22"/>
        </w:rPr>
        <w:t>R = the amount to be repaid</w:t>
      </w:r>
    </w:p>
    <w:p>
      <w:pPr>
        <w:pStyle w:val="Normal"/>
        <w:ind w:left="1701" w:hanging="0"/>
        <w:jc w:val="both"/>
        <w:rPr>
          <w:sz w:val="22"/>
          <w:szCs w:val="22"/>
        </w:rPr>
      </w:pPr>
      <w:r>
        <w:rPr>
          <w:sz w:val="22"/>
          <w:szCs w:val="22"/>
        </w:rPr>
        <w:t>Va = the total amount of pre-financing</w:t>
      </w:r>
    </w:p>
    <w:p>
      <w:pPr>
        <w:pStyle w:val="Normal"/>
        <w:ind w:left="1701" w:hanging="0"/>
        <w:jc w:val="both"/>
        <w:rPr>
          <w:sz w:val="22"/>
          <w:szCs w:val="22"/>
        </w:rPr>
      </w:pPr>
      <w:r>
        <w:rPr>
          <w:sz w:val="22"/>
          <w:szCs w:val="22"/>
        </w:rPr>
        <w:t>Vt = the initial contract amount</w:t>
      </w:r>
    </w:p>
    <w:p>
      <w:pPr>
        <w:pStyle w:val="Normal"/>
        <w:ind w:left="1701" w:hanging="0"/>
        <w:jc w:val="both"/>
        <w:rPr>
          <w:sz w:val="22"/>
          <w:szCs w:val="22"/>
        </w:rPr>
      </w:pPr>
      <w:r>
        <w:rPr>
          <w:sz w:val="22"/>
          <w:szCs w:val="22"/>
        </w:rPr>
        <w:t>D = the amount of the instalment.</w:t>
      </w:r>
    </w:p>
    <w:p>
      <w:pPr>
        <w:pStyle w:val="Normal"/>
        <w:spacing w:before="0" w:after="120"/>
        <w:ind w:left="1701" w:hanging="0"/>
        <w:jc w:val="both"/>
        <w:rPr>
          <w:sz w:val="22"/>
          <w:szCs w:val="22"/>
        </w:rPr>
      </w:pPr>
      <w:r>
        <w:rPr>
          <w:sz w:val="22"/>
          <w:szCs w:val="22"/>
        </w:rPr>
        <w:t>The result is rounded up to two decimal places.</w:t>
      </w:r>
    </w:p>
    <w:p>
      <w:pPr>
        <w:pStyle w:val="Normal"/>
        <w:numPr>
          <w:ilvl w:val="0"/>
          <w:numId w:val="2"/>
        </w:numPr>
        <w:spacing w:before="0" w:after="120"/>
        <w:ind w:left="1701" w:hanging="360"/>
        <w:jc w:val="both"/>
        <w:rPr/>
      </w:pPr>
      <w:r>
        <w:rPr>
          <w:sz w:val="22"/>
          <w:szCs w:val="22"/>
        </w:rPr>
        <w:t>The pre-financing for plant, machinery and tools — and the pre-financing for other major prior outlays (20 % maximum) — shall be repaid by means of deductions from instalments and, if necessary, the balance due to the contractor. Repayment shall begin with the first instalment and end, at the very latest, by the time 90 % of the amount of the contract has been paid.</w:t>
      </w:r>
    </w:p>
    <w:p>
      <w:pPr>
        <w:pStyle w:val="Normal"/>
        <w:spacing w:before="120" w:after="120"/>
        <w:ind w:left="1701" w:hanging="0"/>
        <w:jc w:val="both"/>
        <w:rPr>
          <w:sz w:val="22"/>
          <w:szCs w:val="22"/>
        </w:rPr>
      </w:pPr>
      <w:r>
        <w:rPr>
          <w:sz w:val="22"/>
          <w:szCs w:val="22"/>
        </w:rPr>
        <w:t>The amount to be deducted from each instalment shall be calculated using the following formula:</w:t>
      </w:r>
    </w:p>
    <w:p>
      <w:pPr>
        <w:pStyle w:val="Normal"/>
        <w:spacing w:before="0" w:after="120"/>
        <w:ind w:left="1701" w:hanging="0"/>
        <w:jc w:val="both"/>
        <w:rPr>
          <w:sz w:val="22"/>
          <w:szCs w:val="22"/>
        </w:rPr>
      </w:pPr>
      <w:r>
        <w:rPr/>
      </w:r>
      <m:oMath xmlns:m="http://schemas.openxmlformats.org/officeDocument/2006/math">
        <m:r>
          <w:rPr>
            <w:rFonts w:ascii="Cambria Math" w:hAnsi="Cambria Math"/>
          </w:rPr>
          <m:t xml:space="preserve">R</m:t>
        </m:r>
        <m:r>
          <w:rPr>
            <w:rFonts w:ascii="Cambria Math" w:hAnsi="Cambria Math"/>
          </w:rPr>
          <m:t xml:space="preserve">=</m:t>
        </m:r>
        <m:f>
          <m:num>
            <m:r>
              <m:rPr>
                <m:lit/>
                <m:nor/>
              </m:rPr>
              <w:rPr>
                <w:rFonts w:ascii="Cambria Math" w:hAnsi="Cambria Math"/>
              </w:rPr>
              <m:t xml:space="preserve">Va</m:t>
            </m:r>
            <m:r>
              <w:rPr>
                <w:rFonts w:ascii="Cambria Math" w:hAnsi="Cambria Math"/>
              </w:rPr>
              <m:t xml:space="preserve">×</m:t>
            </m:r>
            <m:r>
              <w:rPr>
                <w:rFonts w:ascii="Cambria Math" w:hAnsi="Cambria Math"/>
              </w:rPr>
              <m:t xml:space="preserve">D</m:t>
            </m:r>
          </m:num>
          <m:den>
            <m:r>
              <m:rPr>
                <m:lit/>
                <m:nor/>
              </m:rPr>
              <w:rPr>
                <w:rFonts w:ascii="Cambria Math" w:hAnsi="Cambria Math"/>
              </w:rPr>
              <m:t xml:space="preserve">Vt</m:t>
            </m:r>
            <m:r>
              <w:rPr>
                <w:rFonts w:ascii="Cambria Math" w:hAnsi="Cambria Math"/>
              </w:rPr>
              <m:t xml:space="preserve">×</m:t>
            </m:r>
            <m:r>
              <w:rPr>
                <w:rFonts w:ascii="Cambria Math" w:hAnsi="Cambria Math"/>
              </w:rPr>
              <m:t xml:space="preserve">0</m:t>
            </m:r>
            <m:r>
              <m:rPr>
                <m:lit/>
                <m:nor/>
              </m:rPr>
              <w:rPr>
                <w:rFonts w:ascii="Cambria Math" w:hAnsi="Cambria Math"/>
              </w:rPr>
              <m:t xml:space="preserve">.</m:t>
            </m:r>
            <m:r>
              <w:rPr>
                <w:rFonts w:ascii="Cambria Math" w:hAnsi="Cambria Math"/>
              </w:rPr>
              <m:t xml:space="preserve">9</m:t>
            </m:r>
          </m:den>
        </m:f>
      </m:oMath>
    </w:p>
    <w:p>
      <w:pPr>
        <w:pStyle w:val="Normal"/>
        <w:spacing w:before="0" w:after="120"/>
        <w:ind w:left="1701" w:hanging="0"/>
        <w:jc w:val="both"/>
        <w:rPr>
          <w:sz w:val="22"/>
          <w:szCs w:val="22"/>
        </w:rPr>
      </w:pPr>
      <w:r>
        <w:rPr>
          <w:sz w:val="22"/>
          <w:szCs w:val="22"/>
        </w:rPr>
        <w:t>where:</w:t>
      </w:r>
    </w:p>
    <w:p>
      <w:pPr>
        <w:pStyle w:val="Normal"/>
        <w:ind w:left="1701" w:hanging="0"/>
        <w:jc w:val="both"/>
        <w:rPr>
          <w:sz w:val="22"/>
          <w:szCs w:val="22"/>
        </w:rPr>
      </w:pPr>
      <w:r>
        <w:rPr>
          <w:sz w:val="22"/>
          <w:szCs w:val="22"/>
        </w:rPr>
        <w:t>R = the amount to be repaid</w:t>
      </w:r>
    </w:p>
    <w:p>
      <w:pPr>
        <w:pStyle w:val="Normal"/>
        <w:ind w:left="1701" w:hanging="0"/>
        <w:jc w:val="both"/>
        <w:rPr>
          <w:sz w:val="22"/>
          <w:szCs w:val="22"/>
        </w:rPr>
      </w:pPr>
      <w:r>
        <w:rPr>
          <w:sz w:val="22"/>
          <w:szCs w:val="22"/>
        </w:rPr>
        <w:t>Va = the total amount of pre-financing</w:t>
      </w:r>
    </w:p>
    <w:p>
      <w:pPr>
        <w:pStyle w:val="Normal"/>
        <w:ind w:left="1701" w:hanging="0"/>
        <w:jc w:val="both"/>
        <w:rPr>
          <w:sz w:val="22"/>
          <w:szCs w:val="22"/>
        </w:rPr>
      </w:pPr>
      <w:r>
        <w:rPr>
          <w:sz w:val="22"/>
          <w:szCs w:val="22"/>
        </w:rPr>
        <w:t>Vt = the initial contract amount</w:t>
      </w:r>
    </w:p>
    <w:p>
      <w:pPr>
        <w:pStyle w:val="Normal"/>
        <w:ind w:left="1701" w:hanging="0"/>
        <w:jc w:val="both"/>
        <w:rPr/>
      </w:pPr>
      <w:r>
        <w:rPr>
          <w:sz w:val="22"/>
          <w:szCs w:val="22"/>
        </w:rPr>
        <w:t>D = the amount of the instalment.</w:t>
      </w:r>
    </w:p>
    <w:p>
      <w:pPr>
        <w:pStyle w:val="Normal"/>
        <w:ind w:left="1701" w:hanging="0"/>
        <w:jc w:val="both"/>
        <w:rPr>
          <w:sz w:val="22"/>
          <w:szCs w:val="22"/>
        </w:rPr>
      </w:pPr>
      <w:r>
        <w:rPr>
          <w:sz w:val="22"/>
          <w:szCs w:val="22"/>
        </w:rPr>
      </w:r>
    </w:p>
    <w:p>
      <w:pPr>
        <w:pStyle w:val="Normal"/>
        <w:ind w:left="1701" w:hanging="0"/>
        <w:jc w:val="both"/>
        <w:rPr>
          <w:sz w:val="22"/>
          <w:szCs w:val="22"/>
        </w:rPr>
      </w:pPr>
      <w:r>
        <w:rPr>
          <w:sz w:val="22"/>
          <w:szCs w:val="22"/>
        </w:rPr>
      </w:r>
    </w:p>
    <w:p>
      <w:pPr>
        <w:pStyle w:val="Normal"/>
        <w:ind w:left="1701" w:hanging="0"/>
        <w:jc w:val="both"/>
        <w:rPr>
          <w:sz w:val="22"/>
          <w:szCs w:val="22"/>
        </w:rPr>
      </w:pPr>
      <w:r>
        <w:rPr>
          <w:sz w:val="22"/>
          <w:szCs w:val="22"/>
        </w:rPr>
      </w:r>
    </w:p>
    <w:p>
      <w:pPr>
        <w:pStyle w:val="Normal"/>
        <w:spacing w:before="240" w:after="0"/>
        <w:ind w:left="1276" w:hanging="1276"/>
        <w:jc w:val="both"/>
        <w:rPr>
          <w:b/>
          <w:b/>
          <w:szCs w:val="24"/>
        </w:rPr>
      </w:pPr>
      <w:bookmarkStart w:id="30" w:name="_Toc76894440"/>
      <w:r>
        <w:rPr>
          <w:b/>
          <w:szCs w:val="24"/>
        </w:rPr>
        <w:t>Article 47</w:t>
        <w:tab/>
        <w:t>Retention monies</w:t>
      </w:r>
      <w:bookmarkEnd w:id="30"/>
    </w:p>
    <w:p>
      <w:pPr>
        <w:pStyle w:val="Normal"/>
        <w:spacing w:before="120" w:after="120"/>
        <w:ind w:left="1276" w:hanging="709"/>
        <w:jc w:val="both"/>
        <w:rPr/>
      </w:pPr>
      <w:r>
        <w:rPr>
          <w:bCs/>
          <w:sz w:val="22"/>
          <w:szCs w:val="22"/>
        </w:rPr>
        <w:t>47.1</w:t>
        <w:tab/>
      </w:r>
      <w:r>
        <w:rPr>
          <w:bCs/>
          <w:sz w:val="22"/>
          <w:szCs w:val="22"/>
          <w:lang w:val="en-US"/>
        </w:rPr>
        <w:t>No derogation from Article 47.1 from general conditions.</w:t>
      </w:r>
    </w:p>
    <w:p>
      <w:pPr>
        <w:pStyle w:val="Normal"/>
        <w:spacing w:before="240" w:after="0"/>
        <w:ind w:left="1276" w:hanging="1276"/>
        <w:jc w:val="both"/>
        <w:rPr>
          <w:b/>
          <w:b/>
          <w:szCs w:val="24"/>
        </w:rPr>
      </w:pPr>
      <w:bookmarkStart w:id="31" w:name="_Toc76894441"/>
      <w:r>
        <w:rPr>
          <w:b/>
          <w:szCs w:val="24"/>
        </w:rPr>
        <w:t>Article 48</w:t>
        <w:tab/>
        <w:t>Price revision</w:t>
      </w:r>
      <w:bookmarkEnd w:id="31"/>
    </w:p>
    <w:p>
      <w:pPr>
        <w:pStyle w:val="Normal"/>
        <w:spacing w:before="120" w:after="120"/>
        <w:ind w:left="1276" w:hanging="709"/>
        <w:rPr/>
      </w:pPr>
      <w:r>
        <w:rPr>
          <w:sz w:val="22"/>
          <w:szCs w:val="22"/>
        </w:rPr>
        <w:t>48.1</w:t>
        <w:tab/>
      </w:r>
      <w:r>
        <w:rPr>
          <w:sz w:val="22"/>
          <w:szCs w:val="22"/>
          <w:lang w:val="en-US"/>
        </w:rPr>
        <w:t xml:space="preserve">No price revision proposed. </w:t>
      </w:r>
    </w:p>
    <w:p>
      <w:pPr>
        <w:pStyle w:val="Normal"/>
        <w:spacing w:before="240" w:after="0"/>
        <w:ind w:left="1276" w:hanging="1276"/>
        <w:jc w:val="both"/>
        <w:rPr/>
      </w:pPr>
      <w:bookmarkStart w:id="32" w:name="_Toc76894442"/>
      <w:r>
        <w:rPr>
          <w:b/>
          <w:szCs w:val="24"/>
        </w:rPr>
        <w:t>Article 49</w:t>
        <w:tab/>
        <w:t>Measurement</w:t>
      </w:r>
      <w:bookmarkEnd w:id="32"/>
    </w:p>
    <w:p>
      <w:pPr>
        <w:pStyle w:val="Normal"/>
        <w:spacing w:before="120" w:after="120"/>
        <w:ind w:left="1276" w:hanging="709"/>
        <w:jc w:val="both"/>
        <w:rPr/>
      </w:pPr>
      <w:r>
        <w:rPr>
          <w:bCs/>
          <w:sz w:val="22"/>
          <w:szCs w:val="22"/>
        </w:rPr>
        <w:t>49.1</w:t>
        <w:tab/>
        <w:tab/>
      </w:r>
      <w:r>
        <w:rPr>
          <w:sz w:val="22"/>
          <w:szCs w:val="22"/>
        </w:rPr>
        <w:t xml:space="preserve">This is a unit-price contract.  </w:t>
      </w:r>
      <w:r>
        <w:rPr>
          <w:bCs/>
          <w:sz w:val="22"/>
          <w:szCs w:val="22"/>
          <w:lang w:val="en-US"/>
        </w:rPr>
        <w:t>Article 49.1. b) from general conditions is fully applicable</w:t>
      </w:r>
    </w:p>
    <w:p>
      <w:pPr>
        <w:pStyle w:val="Normal"/>
        <w:spacing w:before="240" w:after="0"/>
        <w:ind w:left="1276" w:hanging="1276"/>
        <w:jc w:val="both"/>
        <w:rPr/>
      </w:pPr>
      <w:bookmarkStart w:id="33" w:name="_Toc76894443"/>
      <w:r>
        <w:rPr>
          <w:b/>
          <w:szCs w:val="24"/>
        </w:rPr>
        <w:t>Article 50</w:t>
        <w:tab/>
        <w:t>Interim payments</w:t>
      </w:r>
      <w:bookmarkEnd w:id="33"/>
    </w:p>
    <w:p>
      <w:pPr>
        <w:pStyle w:val="Normal"/>
        <w:spacing w:before="120" w:after="120"/>
        <w:ind w:left="1276" w:hanging="709"/>
        <w:rPr/>
      </w:pPr>
      <w:r>
        <w:rPr>
          <w:bCs/>
          <w:sz w:val="22"/>
          <w:szCs w:val="22"/>
        </w:rPr>
        <w:t>50.1</w:t>
      </w:r>
      <w:r>
        <w:rPr>
          <w:sz w:val="22"/>
          <w:szCs w:val="22"/>
        </w:rPr>
        <w:tab/>
        <w:t>T</w:t>
      </w:r>
      <w:r>
        <w:rPr>
          <w:sz w:val="22"/>
        </w:rPr>
        <w:t xml:space="preserve">he contractor shall submit an invoice for payment to the supervisor at the end of each period referred to in Article 50.7 in a form approved by the supervisor. </w:t>
      </w:r>
    </w:p>
    <w:p>
      <w:pPr>
        <w:pStyle w:val="Normal"/>
        <w:spacing w:before="240" w:after="0"/>
        <w:ind w:left="1276" w:hanging="1276"/>
        <w:jc w:val="both"/>
        <w:rPr>
          <w:b/>
          <w:b/>
          <w:szCs w:val="24"/>
        </w:rPr>
      </w:pPr>
      <w:bookmarkStart w:id="34" w:name="_Toc76894444"/>
      <w:r>
        <w:rPr>
          <w:b/>
          <w:szCs w:val="24"/>
        </w:rPr>
        <w:t>Article 51</w:t>
        <w:tab/>
        <w:t>Final statement of account</w:t>
      </w:r>
      <w:bookmarkEnd w:id="34"/>
    </w:p>
    <w:p>
      <w:pPr>
        <w:pStyle w:val="Text1"/>
        <w:ind w:left="1276" w:hanging="709"/>
        <w:rPr/>
      </w:pPr>
      <w:r>
        <w:rPr>
          <w:sz w:val="22"/>
          <w:szCs w:val="22"/>
          <w:lang w:eastAsia="en-GB"/>
        </w:rPr>
        <w:t>51.1</w:t>
        <w:tab/>
        <w:t>The contractor shall, submit to the supervisor a draft final statement of account when it applies for the final acceptance certificate. In order to enable the supervisor to prepare the final statement of account, the draft final statement of account is submitted with supporting documents showing in detail the value of the work done in accordance with the contract and all further sums which the contractor considers to be due to it under the contract.</w:t>
      </w:r>
    </w:p>
    <w:p>
      <w:pPr>
        <w:pStyle w:val="Normal"/>
        <w:ind w:left="1276" w:hanging="709"/>
        <w:jc w:val="both"/>
        <w:rPr/>
      </w:pPr>
      <w:r>
        <w:rPr>
          <w:sz w:val="22"/>
          <w:szCs w:val="22"/>
          <w:lang w:eastAsia="en-GB"/>
        </w:rPr>
        <w:t>51.2</w:t>
        <w:tab/>
        <w:t>Within 30 days from issuing the final acceptance certificate referred to in Article 62, the supervisor shall prepare and signed the final statement of account.</w:t>
      </w:r>
    </w:p>
    <w:p>
      <w:pPr>
        <w:pStyle w:val="Normal"/>
        <w:spacing w:before="240" w:after="0"/>
        <w:ind w:left="1276" w:hanging="1276"/>
        <w:jc w:val="both"/>
        <w:rPr/>
      </w:pPr>
      <w:bookmarkStart w:id="35" w:name="_Toc76894445"/>
      <w:r>
        <w:rPr>
          <w:b/>
          <w:szCs w:val="24"/>
        </w:rPr>
        <w:t>Article 53</w:t>
        <w:tab/>
        <w:t>Delayed payments</w:t>
      </w:r>
      <w:bookmarkEnd w:id="35"/>
    </w:p>
    <w:p>
      <w:pPr>
        <w:pStyle w:val="Normal"/>
        <w:spacing w:before="120" w:after="120"/>
        <w:ind w:left="1276" w:hanging="709"/>
        <w:jc w:val="both"/>
        <w:rPr>
          <w:highlight w:val="lightGray"/>
        </w:rPr>
      </w:pPr>
      <w:r>
        <w:rPr>
          <w:bCs/>
          <w:sz w:val="22"/>
          <w:szCs w:val="22"/>
        </w:rPr>
        <w:t>53.1</w:t>
        <w:tab/>
        <w:t>By derogation from Article 53.1 of the general conditions, once the time-limit referred Article 44.3 has expired, the contractor shall be entitled to late-payment interest at the rate and for the period mentioned in the general conditions.</w:t>
      </w:r>
      <w:r>
        <w:rPr/>
        <w:t xml:space="preserve"> </w:t>
      </w:r>
    </w:p>
    <w:p>
      <w:pPr>
        <w:pStyle w:val="Normal"/>
        <w:spacing w:before="120" w:after="120"/>
        <w:ind w:left="1276" w:hanging="0"/>
        <w:jc w:val="both"/>
        <w:rPr/>
      </w:pPr>
      <w:r>
        <w:rPr>
          <w:sz w:val="22"/>
          <w:szCs w:val="22"/>
        </w:rPr>
        <w:t>However, when the interest calculated in accordance with the first subparagraph is lower than or equal to EUR 200, it shall be paid to the creditor only upon a demand submitted within two months of receiving late payment</w:t>
      </w:r>
    </w:p>
    <w:p>
      <w:pPr>
        <w:pStyle w:val="Normal"/>
        <w:spacing w:before="240" w:after="0"/>
        <w:ind w:left="1276" w:hanging="1276"/>
        <w:jc w:val="both"/>
        <w:rPr/>
      </w:pPr>
      <w:bookmarkStart w:id="36" w:name="_Toc76894446"/>
      <w:r>
        <w:rPr>
          <w:b/>
          <w:szCs w:val="24"/>
        </w:rPr>
        <w:t>Article 59</w:t>
        <w:tab/>
        <w:t>Partial acceptance</w:t>
      </w:r>
      <w:bookmarkEnd w:id="36"/>
    </w:p>
    <w:p>
      <w:pPr>
        <w:pStyle w:val="Normal"/>
        <w:tabs>
          <w:tab w:val="clear" w:pos="720"/>
          <w:tab w:val="left" w:pos="3060" w:leader="none"/>
        </w:tabs>
        <w:spacing w:before="120" w:after="120"/>
        <w:ind w:left="1276" w:hanging="709"/>
        <w:jc w:val="both"/>
        <w:rPr/>
      </w:pPr>
      <w:r>
        <w:rPr>
          <w:bCs/>
          <w:sz w:val="22"/>
          <w:szCs w:val="22"/>
        </w:rPr>
        <w:t>59.3</w:t>
      </w:r>
      <w:r>
        <w:rPr>
          <w:sz w:val="22"/>
          <w:szCs w:val="22"/>
        </w:rPr>
        <w:tab/>
      </w:r>
      <w:r>
        <w:rPr>
          <w:bCs/>
          <w:sz w:val="22"/>
          <w:szCs w:val="22"/>
        </w:rPr>
        <w:t xml:space="preserve">In the cases of partial provisional acceptance referred to in Article 59.1 and 59.2 the </w:t>
      </w:r>
      <w:r>
        <w:rPr>
          <w:sz w:val="22"/>
        </w:rPr>
        <w:t xml:space="preserve">defects liability period provided for in Article 62 shall run as from the date of such partial provisional acceptance. </w:t>
      </w:r>
    </w:p>
    <w:p>
      <w:pPr>
        <w:pStyle w:val="Normal"/>
        <w:spacing w:before="240" w:after="0"/>
        <w:ind w:left="1276" w:hanging="1276"/>
        <w:jc w:val="both"/>
        <w:rPr>
          <w:b/>
          <w:b/>
          <w:szCs w:val="24"/>
        </w:rPr>
      </w:pPr>
      <w:bookmarkStart w:id="37" w:name="_Toc76894447"/>
      <w:r>
        <w:rPr>
          <w:b/>
          <w:szCs w:val="24"/>
        </w:rPr>
        <w:t>Article 60</w:t>
        <w:tab/>
        <w:t>Provisional acceptance</w:t>
      </w:r>
      <w:bookmarkEnd w:id="37"/>
    </w:p>
    <w:p>
      <w:pPr>
        <w:pStyle w:val="Normal"/>
        <w:spacing w:before="120" w:after="0"/>
        <w:ind w:left="1276" w:hanging="709"/>
        <w:jc w:val="both"/>
        <w:rPr/>
      </w:pPr>
      <w:r>
        <w:rPr>
          <w:sz w:val="22"/>
          <w:szCs w:val="22"/>
        </w:rPr>
        <w:t>60.1</w:t>
        <w:tab/>
        <w:t>In complement to Article 60.1 of the general conditi</w:t>
      </w:r>
      <w:r>
        <w:rPr>
          <w:color w:val="auto"/>
          <w:sz w:val="22"/>
          <w:szCs w:val="22"/>
        </w:rPr>
        <w:t>ons</w:t>
      </w:r>
      <w:r>
        <w:rPr>
          <w:b w:val="false"/>
          <w:bCs w:val="false"/>
          <w:color w:val="auto"/>
          <w:sz w:val="22"/>
          <w:szCs w:val="22"/>
        </w:rPr>
        <w:t xml:space="preserve"> </w:t>
      </w:r>
      <w:r>
        <w:rPr>
          <w:b w:val="false"/>
          <w:bCs w:val="false"/>
          <w:color w:val="auto"/>
          <w:sz w:val="22"/>
          <w:szCs w:val="22"/>
          <w:lang w:val="en-US"/>
        </w:rPr>
        <w:t>t</w:t>
      </w:r>
      <w:r>
        <w:rPr>
          <w:b w:val="false"/>
          <w:bCs w:val="false"/>
          <w:color w:val="auto"/>
          <w:sz w:val="22"/>
          <w:szCs w:val="22"/>
        </w:rPr>
        <w:t>he</w:t>
      </w:r>
      <w:r>
        <w:rPr>
          <w:b/>
          <w:bCs/>
          <w:color w:val="auto"/>
          <w:sz w:val="22"/>
          <w:szCs w:val="22"/>
        </w:rPr>
        <w:t xml:space="preserve"> </w:t>
      </w:r>
      <w:r>
        <w:rPr>
          <w:b w:val="false"/>
          <w:bCs w:val="false"/>
          <w:color w:val="auto"/>
          <w:sz w:val="22"/>
          <w:szCs w:val="22"/>
        </w:rPr>
        <w:t xml:space="preserve">works shall be taken over by the </w:t>
      </w:r>
      <w:r>
        <w:rPr>
          <w:b w:val="false"/>
          <w:bCs w:val="false"/>
          <w:color w:val="auto"/>
          <w:sz w:val="22"/>
        </w:rPr>
        <w:t>contracting authority when they have satisfactorily passed the tests on completion and a certificate of provisional acceptance has been issued or is deemed to have been issued.</w:t>
      </w:r>
    </w:p>
    <w:p>
      <w:pPr>
        <w:pStyle w:val="Normal"/>
        <w:spacing w:before="120" w:after="0"/>
        <w:ind w:left="1276" w:hanging="709"/>
        <w:jc w:val="both"/>
        <w:rPr/>
      </w:pPr>
      <w:r>
        <w:rPr>
          <w:b w:val="false"/>
          <w:bCs w:val="false"/>
          <w:color w:val="auto"/>
          <w:sz w:val="22"/>
        </w:rPr>
        <w:tab/>
      </w:r>
      <w:r>
        <w:rPr>
          <w:b w:val="false"/>
          <w:bCs w:val="false"/>
          <w:color w:val="auto"/>
          <w:sz w:val="22"/>
          <w:lang w:val="en-US"/>
        </w:rPr>
        <w:t xml:space="preserve">According to the National Law, final report from the supervision is key for the acceptance. </w:t>
      </w:r>
    </w:p>
    <w:p>
      <w:pPr>
        <w:pStyle w:val="Normal"/>
        <w:spacing w:before="240" w:after="0"/>
        <w:ind w:left="1276" w:hanging="1276"/>
        <w:jc w:val="both"/>
        <w:rPr>
          <w:b/>
          <w:b/>
          <w:szCs w:val="24"/>
        </w:rPr>
      </w:pPr>
      <w:bookmarkStart w:id="38" w:name="_Toc76894448"/>
      <w:r>
        <w:rPr>
          <w:b/>
          <w:szCs w:val="24"/>
        </w:rPr>
        <w:t>Article 61</w:t>
        <w:tab/>
        <w:t>Defects liability</w:t>
      </w:r>
      <w:bookmarkEnd w:id="38"/>
    </w:p>
    <w:p>
      <w:pPr>
        <w:pStyle w:val="Normal"/>
        <w:spacing w:before="120" w:after="120"/>
        <w:ind w:left="1276" w:hanging="709"/>
        <w:jc w:val="both"/>
        <w:rPr>
          <w:sz w:val="22"/>
          <w:szCs w:val="22"/>
        </w:rPr>
      </w:pPr>
      <w:r>
        <w:rPr>
          <w:sz w:val="22"/>
          <w:szCs w:val="22"/>
        </w:rPr>
        <w:t>61.1</w:t>
        <w:tab/>
        <w:t xml:space="preserve">The defects liability period is defined as the period commencing on the date of provisional acceptance, during which the contractor is required to make good any defect in, or damage to, any part of the work which may appear or occur during this period as notify by the supervisor or the contracting authority. The rights and obligations of the parties with regard to this defects liability period are laid down in Article 61 of the general conditions. </w:t>
      </w:r>
    </w:p>
    <w:p>
      <w:pPr>
        <w:pStyle w:val="Normal"/>
        <w:shd w:val="clear" w:color="auto" w:fill="FFFFFF"/>
        <w:spacing w:before="120" w:after="120"/>
        <w:ind w:left="1276" w:hanging="709"/>
        <w:jc w:val="both"/>
        <w:rPr/>
      </w:pPr>
      <w:r>
        <w:rPr>
          <w:bCs/>
          <w:sz w:val="22"/>
          <w:szCs w:val="22"/>
        </w:rPr>
        <w:t xml:space="preserve">61.6 </w:t>
        <w:tab/>
        <w:t xml:space="preserve">Where the </w:t>
      </w:r>
      <w:r>
        <w:rPr>
          <w:sz w:val="22"/>
        </w:rPr>
        <w:t xml:space="preserve">special conditions stipulate that the maintenance work, necessitated by normal wear and tear, shall be carried out by the contractor, such work shall be paid for from a provisional sum. Deterioration resulting from the circumstances provided for in Article 21 or from abnormal use shall be excluded from this obligation unless it reveals a fault or defect justifying the request for repair or replacement under Article 61. </w:t>
      </w:r>
    </w:p>
    <w:p>
      <w:pPr>
        <w:pStyle w:val="Normal"/>
        <w:spacing w:before="120" w:after="120"/>
        <w:ind w:left="1276" w:hanging="709"/>
        <w:jc w:val="both"/>
        <w:rPr/>
      </w:pPr>
      <w:r>
        <w:rPr>
          <w:bCs/>
          <w:sz w:val="22"/>
          <w:szCs w:val="22"/>
        </w:rPr>
        <w:t>61.7</w:t>
        <w:tab/>
      </w:r>
      <w:r>
        <w:rPr>
          <w:bCs/>
          <w:i w:val="false"/>
          <w:iCs w:val="false"/>
          <w:sz w:val="22"/>
          <w:szCs w:val="22"/>
        </w:rPr>
        <w:t xml:space="preserve">The defects liability </w:t>
      </w:r>
      <w:r>
        <w:rPr>
          <w:i w:val="false"/>
          <w:iCs w:val="false"/>
          <w:sz w:val="22"/>
        </w:rPr>
        <w:t>peri</w:t>
      </w:r>
      <w:r>
        <w:rPr>
          <w:sz w:val="22"/>
        </w:rPr>
        <w:t xml:space="preserve">od shall be stipulated in the special conditions and technical specifications. If the duration of the defects liability period is not specified, it shall be 365 days. The defects liability period shall commence on the date of provisional acceptance and may recommence in accordance with Article 61.2. </w:t>
      </w:r>
    </w:p>
    <w:p>
      <w:pPr>
        <w:pStyle w:val="Normal"/>
        <w:spacing w:before="240" w:after="0"/>
        <w:ind w:left="1276" w:hanging="1276"/>
        <w:jc w:val="both"/>
        <w:rPr>
          <w:b/>
          <w:b/>
          <w:szCs w:val="24"/>
        </w:rPr>
      </w:pPr>
      <w:bookmarkStart w:id="39" w:name="_Toc76894451"/>
      <w:r>
        <w:rPr>
          <w:b/>
          <w:szCs w:val="24"/>
        </w:rPr>
        <w:t>Article 68</w:t>
        <w:tab/>
        <w:t>Dispute settlement</w:t>
      </w:r>
      <w:bookmarkEnd w:id="39"/>
    </w:p>
    <w:p>
      <w:pPr>
        <w:pStyle w:val="Normal"/>
        <w:spacing w:before="120" w:after="120"/>
        <w:ind w:left="1276" w:hanging="709"/>
        <w:jc w:val="both"/>
        <w:rPr/>
      </w:pPr>
      <w:r>
        <w:rPr>
          <w:rStyle w:val="DefaultMargins"/>
          <w:rFonts w:cs="Times New Roman"/>
          <w:bCs/>
          <w:spacing w:val="-3"/>
          <w:sz w:val="22"/>
          <w:szCs w:val="22"/>
          <w:lang w:val="en-GB"/>
        </w:rPr>
        <w:t>68.4</w:t>
      </w:r>
      <w:r>
        <w:rPr>
          <w:rStyle w:val="DefaultMargins"/>
          <w:rFonts w:cs="Times New Roman"/>
          <w:spacing w:val="-3"/>
          <w:sz w:val="22"/>
          <w:szCs w:val="22"/>
          <w:lang w:val="en-GB"/>
        </w:rPr>
        <w:tab/>
      </w:r>
      <w:r>
        <w:rPr>
          <w:sz w:val="22"/>
          <w:szCs w:val="22"/>
          <w:lang w:bidi="kn-IN"/>
        </w:rPr>
        <w:t>Any dispute arising out of or relating to this contract which cannot be settled otherwise shall be referred to the exclusive jurisdiction of</w:t>
      </w:r>
      <w:r>
        <w:rPr>
          <w:i/>
          <w:iCs/>
          <w:sz w:val="22"/>
          <w:szCs w:val="22"/>
          <w:lang w:bidi="kn-IN"/>
        </w:rPr>
        <w:t xml:space="preserve"> </w:t>
      </w:r>
      <w:r>
        <w:rPr>
          <w:sz w:val="22"/>
          <w:szCs w:val="22"/>
          <w:lang w:bidi="kn-IN"/>
        </w:rPr>
        <w:t>the courts of Brussels, Belgium.</w:t>
      </w:r>
    </w:p>
    <w:p>
      <w:pPr>
        <w:pStyle w:val="Normal"/>
        <w:spacing w:before="0" w:after="120"/>
        <w:ind w:left="1276" w:hanging="0"/>
        <w:rPr>
          <w:sz w:val="22"/>
          <w:szCs w:val="22"/>
          <w:highlight w:val="yellow"/>
          <w:lang w:bidi="kn-IN"/>
        </w:rPr>
      </w:pPr>
      <w:r>
        <w:rPr>
          <w:sz w:val="22"/>
          <w:szCs w:val="22"/>
          <w:highlight w:val="yellow"/>
          <w:lang w:bidi="kn-IN"/>
        </w:rPr>
      </w:r>
    </w:p>
    <w:p>
      <w:pPr>
        <w:pStyle w:val="Normal"/>
        <w:keepNext w:val="true"/>
        <w:keepLines/>
        <w:tabs>
          <w:tab w:val="clear" w:pos="720"/>
          <w:tab w:val="left" w:pos="1134" w:leader="none"/>
        </w:tabs>
        <w:spacing w:before="240" w:after="120"/>
        <w:ind w:left="1134" w:hanging="1134"/>
        <w:rPr/>
      </w:pPr>
      <w:r>
        <w:rPr>
          <w:b/>
          <w:szCs w:val="24"/>
        </w:rPr>
        <w:t>Article 72</w:t>
        <w:tab/>
        <w:t>Data protection</w:t>
      </w:r>
    </w:p>
    <w:p>
      <w:pPr>
        <w:pStyle w:val="Normal"/>
        <w:jc w:val="both"/>
        <w:rPr>
          <w:sz w:val="22"/>
          <w:szCs w:val="22"/>
        </w:rPr>
      </w:pPr>
      <w:r>
        <w:rPr>
          <w:sz w:val="22"/>
          <w:szCs w:val="22"/>
        </w:rPr>
      </w:r>
    </w:p>
    <w:p>
      <w:pPr>
        <w:pStyle w:val="Normal"/>
        <w:jc w:val="both"/>
        <w:rPr/>
      </w:pPr>
      <w:r>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pPr>
        <w:pStyle w:val="Normal"/>
        <w:jc w:val="both"/>
        <w:rPr>
          <w:sz w:val="22"/>
          <w:szCs w:val="22"/>
        </w:rPr>
      </w:pPr>
      <w:r>
        <w:rPr>
          <w:sz w:val="22"/>
          <w:szCs w:val="22"/>
        </w:rPr>
      </w:r>
    </w:p>
    <w:p>
      <w:pPr>
        <w:pStyle w:val="Normal"/>
        <w:jc w:val="both"/>
        <w:rPr/>
      </w:pPr>
      <w:r>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Anchor"/>
          <w:sz w:val="22"/>
          <w:szCs w:val="22"/>
        </w:rPr>
        <w:footnoteReference w:id="2"/>
      </w:r>
      <w:r>
        <w:rPr>
          <w:sz w:val="22"/>
          <w:szCs w:val="22"/>
        </w:rPr>
        <w:t xml:space="preserve"> and as detailed in the specific privacy statement published at ePRAG.</w:t>
      </w:r>
    </w:p>
    <w:p>
      <w:pPr>
        <w:pStyle w:val="Normal"/>
        <w:spacing w:before="240" w:after="0"/>
        <w:ind w:left="1276" w:hanging="1276"/>
        <w:jc w:val="both"/>
        <w:rPr>
          <w:b/>
          <w:b/>
          <w:sz w:val="22"/>
          <w:szCs w:val="22"/>
        </w:rPr>
      </w:pPr>
      <w:r>
        <w:rPr>
          <w:b/>
          <w:sz w:val="22"/>
          <w:szCs w:val="22"/>
        </w:rPr>
      </w:r>
    </w:p>
    <w:p>
      <w:pPr>
        <w:pStyle w:val="Normal"/>
        <w:spacing w:before="360" w:after="0"/>
        <w:jc w:val="center"/>
        <w:rPr/>
      </w:pPr>
      <w:r>
        <w:rPr>
          <w:sz w:val="22"/>
          <w:szCs w:val="22"/>
        </w:rPr>
        <w:t>* * *</w:t>
      </w:r>
    </w:p>
    <w:sectPr>
      <w:headerReference w:type="default" r:id="rId3"/>
      <w:footerReference w:type="default" r:id="rId4"/>
      <w:footnotePr>
        <w:numFmt w:val="decimal"/>
      </w:footnotePr>
      <w:type w:val="nextPage"/>
      <w:pgSz w:w="11906" w:h="16838"/>
      <w:pgMar w:left="1298" w:right="1298" w:header="720" w:top="1298" w:footer="720" w:bottom="1077" w:gutter="0"/>
      <w:pgNumType w:start="1"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ourier">
    <w:altName w:val="Courier New"/>
    <w:charset w:val="00"/>
    <w:family w:val="roman"/>
    <w:pitch w:val="variable"/>
  </w:font>
  <w:font w:name="Liberation Sans">
    <w:altName w:val="Arial"/>
    <w:charset w:val="00"/>
    <w:family w:val="roman"/>
    <w:pitch w:val="variable"/>
  </w:font>
  <w:font w:name="Courier New">
    <w:charset w:val="00"/>
    <w:family w:val="roman"/>
    <w:pitch w:val="variable"/>
  </w:font>
  <w:font w:name="Tahoma">
    <w:charset w:val="00"/>
    <w:family w:val="roman"/>
    <w:pitch w:val="variable"/>
  </w:font>
  <w:font w:name="Verdana">
    <w:charset w:val="00"/>
    <w:family w:val="roman"/>
    <w:pitch w:val="variable"/>
  </w:font>
  <w:font w:name="Optima">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4320"/>
        <w:tab w:val="clear" w:pos="8640"/>
        <w:tab w:val="right" w:pos="9214" w:leader="none"/>
      </w:tabs>
      <w:ind w:right="5" w:hanging="0"/>
      <w:rPr/>
    </w:pPr>
    <w:r>
      <w:rPr/>
    </w:r>
  </w:p>
  <w:p>
    <w:pPr>
      <w:pStyle w:val="Footer"/>
      <w:tabs>
        <w:tab w:val="clear" w:pos="4320"/>
        <w:tab w:val="clear" w:pos="8640"/>
        <w:tab w:val="right" w:pos="9214" w:leader="none"/>
      </w:tabs>
      <w:ind w:right="5" w:hanging="0"/>
      <w:rPr/>
    </w:pPr>
    <w:r>
      <w:rPr>
        <w:b/>
        <w:sz w:val="18"/>
      </w:rPr>
      <w:t>2021.1</w:t>
    </w:r>
    <w:r>
      <w:rPr>
        <w:sz w:val="18"/>
        <w:szCs w:val="18"/>
      </w:rPr>
      <w:tab/>
      <w:t xml:space="preserve">Page </w:t>
    </w:r>
    <w:r>
      <w:rPr>
        <w:rStyle w:val="Pagenumber"/>
        <w:sz w:val="18"/>
        <w:szCs w:val="18"/>
      </w:rPr>
      <w:fldChar w:fldCharType="begin"/>
    </w:r>
    <w:r>
      <w:rPr>
        <w:rStyle w:val="Pagenumber"/>
        <w:sz w:val="18"/>
        <w:szCs w:val="18"/>
      </w:rPr>
      <w:instrText> PAGE </w:instrText>
    </w:r>
    <w:r>
      <w:rPr>
        <w:rStyle w:val="Pagenumber"/>
        <w:sz w:val="18"/>
        <w:szCs w:val="18"/>
      </w:rPr>
      <w:fldChar w:fldCharType="separate"/>
    </w:r>
    <w:r>
      <w:rPr>
        <w:rStyle w:val="Pagenumber"/>
        <w:sz w:val="18"/>
        <w:szCs w:val="18"/>
      </w:rPr>
      <w:t>7</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NUMPAGES </w:instrText>
    </w:r>
    <w:r>
      <w:rPr>
        <w:rStyle w:val="Pagenumber"/>
        <w:sz w:val="18"/>
        <w:szCs w:val="18"/>
      </w:rPr>
      <w:fldChar w:fldCharType="separate"/>
    </w:r>
    <w:r>
      <w:rPr>
        <w:rStyle w:val="Pagenumber"/>
        <w:sz w:val="18"/>
        <w:szCs w:val="18"/>
      </w:rPr>
      <w:t>7</w:t>
    </w:r>
    <w:r>
      <w:rPr>
        <w:rStyle w:val="Pagenumber"/>
        <w:sz w:val="18"/>
        <w:szCs w:val="18"/>
      </w:rPr>
      <w:fldChar w:fldCharType="end"/>
    </w:r>
  </w:p>
  <w:p>
    <w:pPr>
      <w:pStyle w:val="Normal"/>
      <w:rPr/>
    </w:pPr>
    <w:r>
      <w:rPr>
        <w:sz w:val="18"/>
        <w:szCs w:val="18"/>
      </w:rPr>
      <w:fldChar w:fldCharType="begin"/>
    </w:r>
    <w:r>
      <w:rPr>
        <w:sz w:val="18"/>
        <w:szCs w:val="18"/>
      </w:rPr>
      <w:instrText> FILENAME </w:instrText>
    </w:r>
    <w:r>
      <w:rPr>
        <w:sz w:val="18"/>
        <w:szCs w:val="18"/>
      </w:rPr>
      <w:fldChar w:fldCharType="separate"/>
    </w:r>
    <w:r>
      <w:rPr>
        <w:sz w:val="18"/>
        <w:szCs w:val="18"/>
      </w:rPr>
      <w:t>d4o_specialconditions_en.docx</w:t>
    </w:r>
    <w:r>
      <w:rPr>
        <w:sz w:val="18"/>
        <w:szCs w:val="18"/>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ootnote"/>
        <w:rPr/>
      </w:pPr>
      <w:r>
        <w:rPr>
          <w:rStyle w:val="FootnoteCharacters"/>
        </w:rPr>
        <w:footnoteRef/>
      </w:r>
      <w:r>
        <w:rPr/>
        <w:t xml:space="preserve"> </w:t>
      </w:r>
      <w:r>
        <w:rPr/>
        <w:t>OJ L 205 of 21.11.2018, p. 39</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8"/>
      <w:numFmt w:val="upperLetter"/>
      <w:lvlText w:val="%1."/>
      <w:lvlJc w:val="left"/>
      <w:pPr>
        <w:tabs>
          <w:tab w:val="num" w:pos="360"/>
        </w:tabs>
        <w:ind w:left="360" w:hanging="36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pStyle w:val="Heading4"/>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lowerLetter"/>
      <w:lvlText w:val="%1)"/>
      <w:lvlJc w:val="left"/>
      <w:pPr>
        <w:ind w:left="1259" w:hanging="360"/>
      </w:pPr>
    </w:lvl>
    <w:lvl w:ilvl="1">
      <w:start w:val="1"/>
      <w:numFmt w:val="lowerLetter"/>
      <w:lvlText w:val="%2."/>
      <w:lvlJc w:val="left"/>
      <w:pPr>
        <w:ind w:left="1979" w:hanging="360"/>
      </w:pPr>
    </w:lvl>
    <w:lvl w:ilvl="2">
      <w:start w:val="1"/>
      <w:numFmt w:val="lowerRoman"/>
      <w:lvlText w:val="%3."/>
      <w:lvlJc w:val="right"/>
      <w:pPr>
        <w:ind w:left="2699" w:hanging="180"/>
      </w:pPr>
    </w:lvl>
    <w:lvl w:ilvl="3">
      <w:start w:val="1"/>
      <w:numFmt w:val="decimal"/>
      <w:lvlText w:val="%4."/>
      <w:lvlJc w:val="left"/>
      <w:pPr>
        <w:ind w:left="3419" w:hanging="360"/>
      </w:pPr>
    </w:lvl>
    <w:lvl w:ilvl="4">
      <w:start w:val="1"/>
      <w:numFmt w:val="lowerLetter"/>
      <w:lvlText w:val="%5."/>
      <w:lvlJc w:val="left"/>
      <w:pPr>
        <w:ind w:left="4139" w:hanging="360"/>
      </w:pPr>
    </w:lvl>
    <w:lvl w:ilvl="5">
      <w:start w:val="1"/>
      <w:numFmt w:val="lowerRoman"/>
      <w:lvlText w:val="%6."/>
      <w:lvlJc w:val="right"/>
      <w:pPr>
        <w:ind w:left="4859" w:hanging="180"/>
      </w:pPr>
    </w:lvl>
    <w:lvl w:ilvl="6">
      <w:start w:val="1"/>
      <w:numFmt w:val="decimal"/>
      <w:lvlText w:val="%7."/>
      <w:lvlJc w:val="left"/>
      <w:pPr>
        <w:ind w:left="5579" w:hanging="360"/>
      </w:pPr>
    </w:lvl>
    <w:lvl w:ilvl="7">
      <w:start w:val="1"/>
      <w:numFmt w:val="lowerLetter"/>
      <w:lvlText w:val="%8."/>
      <w:lvlJc w:val="left"/>
      <w:pPr>
        <w:ind w:left="6299" w:hanging="360"/>
      </w:pPr>
    </w:lvl>
    <w:lvl w:ilvl="8">
      <w:start w:val="1"/>
      <w:numFmt w:val="lowerRoman"/>
      <w:lvlText w:val="%9."/>
      <w:lvlJc w:val="right"/>
      <w:pPr>
        <w:ind w:left="7019" w:hanging="180"/>
      </w:pPr>
    </w:lvl>
  </w:abstractNum>
  <w:num w:numId="1">
    <w:abstractNumId w:val="1"/>
  </w:num>
  <w:num w:numId="2">
    <w:abstractNumId w:val="2"/>
  </w:num>
</w:numbering>
</file>

<file path=word/settings.xml><?xml version="1.0" encoding="utf-8"?>
<w:settings xmlns:w="http://schemas.openxmlformats.org/wordprocessingml/2006/main">
  <w:zoom w:percent="120"/>
  <w:embedSystemFonts/>
  <w:defaultTabStop w:val="720"/>
  <w:footnotePr>
    <w:numFmt w:val="decimal"/>
    <w:footnote w:id="0"/>
    <w:footnote w:id="1"/>
  </w:footnotePr>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jc w:val="left"/>
    </w:pPr>
    <w:rPr>
      <w:rFonts w:ascii="Times New Roman" w:hAnsi="Times New Roman" w:eastAsia="Times New Roman" w:cs="Times New Roman"/>
      <w:color w:val="auto"/>
      <w:kern w:val="0"/>
      <w:sz w:val="24"/>
      <w:szCs w:val="20"/>
      <w:lang w:val="en-GB" w:eastAsia="en-US" w:bidi="ar-SA"/>
    </w:rPr>
  </w:style>
  <w:style w:type="paragraph" w:styleId="Heading1">
    <w:name w:val="Heading 1"/>
    <w:basedOn w:val="Normal"/>
    <w:next w:val="Normal"/>
    <w:qFormat/>
    <w:pPr>
      <w:keepNext w:val="true"/>
      <w:jc w:val="center"/>
      <w:outlineLvl w:val="0"/>
    </w:pPr>
    <w:rPr>
      <w:rFonts w:ascii="Arial" w:hAnsi="Arial"/>
      <w:b/>
      <w:color w:val="FF0000"/>
      <w:sz w:val="28"/>
    </w:rPr>
  </w:style>
  <w:style w:type="paragraph" w:styleId="Heading2">
    <w:name w:val="Heading 2"/>
    <w:basedOn w:val="Normal"/>
    <w:next w:val="Normal"/>
    <w:link w:val="Heading2Char"/>
    <w:qFormat/>
    <w:pPr>
      <w:keepNext w:val="true"/>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val="true"/>
      <w:jc w:val="center"/>
      <w:outlineLvl w:val="2"/>
    </w:pPr>
    <w:rPr>
      <w:rFonts w:ascii="Arial" w:hAnsi="Arial"/>
      <w:b/>
      <w:color w:val="FF0000"/>
      <w:sz w:val="36"/>
      <w:lang w:val="fr-FR"/>
    </w:rPr>
  </w:style>
  <w:style w:type="paragraph" w:styleId="Heading4">
    <w:name w:val="Heading 4"/>
    <w:basedOn w:val="Normal"/>
    <w:next w:val="Normal"/>
    <w:qFormat/>
    <w:pPr>
      <w:keepNext w:val="true"/>
      <w:numPr>
        <w:ilvl w:val="3"/>
        <w:numId w:val="1"/>
      </w:numPr>
      <w:spacing w:before="240" w:after="60"/>
      <w:outlineLvl w:val="3"/>
    </w:pPr>
    <w:rPr>
      <w:rFonts w:ascii="Arial" w:hAnsi="Arial"/>
      <w:b/>
      <w:lang w:val="sv-SE"/>
    </w:rPr>
  </w:style>
  <w:style w:type="paragraph" w:styleId="Heading5">
    <w:name w:val="Heading 5"/>
    <w:basedOn w:val="Normal"/>
    <w:next w:val="Normal"/>
    <w:qFormat/>
    <w:pPr>
      <w:keepNext w:val="true"/>
      <w:jc w:val="both"/>
      <w:outlineLvl w:val="4"/>
    </w:pPr>
    <w:rPr>
      <w:rFonts w:ascii="Arial" w:hAnsi="Arial"/>
      <w:b/>
      <w:sz w:val="20"/>
    </w:rPr>
  </w:style>
  <w:style w:type="paragraph" w:styleId="Heading7">
    <w:name w:val="Heading 7"/>
    <w:basedOn w:val="Normal"/>
    <w:next w:val="Normal"/>
    <w:qFormat/>
    <w:pPr>
      <w:keepNext w:val="true"/>
      <w:jc w:val="center"/>
      <w:outlineLvl w:val="6"/>
    </w:pPr>
    <w:rPr>
      <w:rFonts w:ascii="Arial" w:hAnsi="Arial"/>
      <w:b/>
      <w:color w:val="008000"/>
      <w:sz w:val="32"/>
    </w:rPr>
  </w:style>
  <w:style w:type="paragraph" w:styleId="Heading8">
    <w:name w:val="Heading 8"/>
    <w:basedOn w:val="Normal"/>
    <w:next w:val="Normal"/>
    <w:qFormat/>
    <w:pPr>
      <w:keepNext w:val="true"/>
      <w:numPr>
        <w:ilvl w:val="0"/>
        <w:numId w:val="1"/>
      </w:numPr>
      <w:jc w:val="both"/>
      <w:outlineLvl w:val="0"/>
    </w:pPr>
    <w:rPr>
      <w:rFonts w:ascii="Arial" w:hAnsi="Arial"/>
      <w:b/>
    </w:rPr>
  </w:style>
  <w:style w:type="character" w:styleId="DefaultParagraphFont" w:default="1">
    <w:name w:val="Default Paragraph Font"/>
    <w:uiPriority w:val="1"/>
    <w:semiHidden/>
    <w:unhideWhenUsed/>
    <w:qFormat/>
    <w:rPr/>
  </w:style>
  <w:style w:type="character" w:styleId="InternetLink">
    <w:name w:val="Internet Link"/>
    <w:rPr>
      <w:color w:val="0000FF"/>
      <w:u w:val="single"/>
    </w:rPr>
  </w:style>
  <w:style w:type="character" w:styleId="FootnoteCharacters">
    <w:name w:val="Footnote Characters"/>
    <w:qFormat/>
    <w:rPr>
      <w:vertAlign w:val="superscript"/>
    </w:rPr>
  </w:style>
  <w:style w:type="character" w:styleId="FootnoteAnchor">
    <w:name w:val="Footnote Anchor"/>
    <w:rPr>
      <w:vertAlign w:val="superscript"/>
    </w:rPr>
  </w:style>
  <w:style w:type="character" w:styleId="Pagenumber">
    <w:name w:val="page number"/>
    <w:basedOn w:val="DefaultParagraphFont"/>
    <w:qFormat/>
    <w:rPr/>
  </w:style>
  <w:style w:type="character" w:styleId="FollowedHyperlink">
    <w:name w:val="FollowedHyperlink"/>
    <w:qFormat/>
    <w:rPr>
      <w:color w:val="800080"/>
      <w:u w:val="single"/>
    </w:rPr>
  </w:style>
  <w:style w:type="character" w:styleId="Tw4winMark" w:customStyle="1">
    <w:name w:val="tw4winMark"/>
    <w:qFormat/>
    <w:rsid w:val="0068234b"/>
    <w:rPr>
      <w:rFonts w:ascii="Times New Roman" w:hAnsi="Times New Roman" w:cs="Times New Roman"/>
      <w:vanish/>
      <w:color w:val="800080"/>
      <w:sz w:val="24"/>
      <w:szCs w:val="24"/>
      <w:vertAlign w:val="subscript"/>
    </w:rPr>
  </w:style>
  <w:style w:type="character" w:styleId="Heading2Char" w:customStyle="1">
    <w:name w:val="Heading 2 Char"/>
    <w:link w:val="Heading2"/>
    <w:semiHidden/>
    <w:qFormat/>
    <w:locked/>
    <w:rsid w:val="0068234b"/>
    <w:rPr>
      <w:rFonts w:ascii="Arial" w:hAnsi="Arial"/>
      <w:b/>
      <w:lang w:val="fr-FR" w:eastAsia="en-US" w:bidi="ar-SA"/>
    </w:rPr>
  </w:style>
  <w:style w:type="character" w:styleId="Strong">
    <w:name w:val="Strong"/>
    <w:qFormat/>
    <w:rsid w:val="0068234b"/>
    <w:rPr>
      <w:b/>
    </w:rPr>
  </w:style>
  <w:style w:type="character" w:styleId="DefaultMargins" w:customStyle="1">
    <w:name w:val="DefaultMargins"/>
    <w:qFormat/>
    <w:rsid w:val="001050ee"/>
    <w:rPr>
      <w:rFonts w:ascii="Courier" w:hAnsi="Courier" w:cs="Courier"/>
      <w:sz w:val="24"/>
      <w:szCs w:val="24"/>
      <w:lang w:val="en-US"/>
    </w:rPr>
  </w:style>
  <w:style w:type="character" w:styleId="Heading3Char" w:customStyle="1">
    <w:name w:val="Heading 3 Char"/>
    <w:link w:val="Heading3"/>
    <w:qFormat/>
    <w:rsid w:val="005478e4"/>
    <w:rPr>
      <w:rFonts w:ascii="Arial" w:hAnsi="Arial"/>
      <w:b/>
      <w:color w:val="FF0000"/>
      <w:sz w:val="36"/>
      <w:lang w:val="fr-FR" w:eastAsia="en-US" w:bidi="ar-SA"/>
    </w:rPr>
  </w:style>
  <w:style w:type="character" w:styleId="Normal2Char" w:customStyle="1">
    <w:name w:val="Normal2 Char"/>
    <w:link w:val="Normal2"/>
    <w:qFormat/>
    <w:rsid w:val="005478e4"/>
    <w:rPr>
      <w:color w:val="000000"/>
      <w:sz w:val="22"/>
      <w:szCs w:val="22"/>
      <w:lang w:val="en-US" w:eastAsia="en-US" w:bidi="ar-SA"/>
    </w:rPr>
  </w:style>
  <w:style w:type="character" w:styleId="StyleHeading3Char" w:customStyle="1">
    <w:name w:val="Style Heading 3 Char"/>
    <w:link w:val="StyleHeading3"/>
    <w:qFormat/>
    <w:rsid w:val="005478e4"/>
    <w:rPr>
      <w:rFonts w:ascii="Arial" w:hAnsi="Arial"/>
      <w:b/>
      <w:bCs/>
      <w:color w:val="FF0000"/>
      <w:sz w:val="22"/>
      <w:szCs w:val="26"/>
      <w:lang w:val="en-US" w:eastAsia="en-US" w:bidi="ar-SA"/>
    </w:rPr>
  </w:style>
  <w:style w:type="character" w:styleId="Style11pt" w:customStyle="1">
    <w:name w:val="Style 11 pt"/>
    <w:qFormat/>
    <w:rsid w:val="00b7615b"/>
    <w:rPr>
      <w:sz w:val="22"/>
    </w:rPr>
  </w:style>
  <w:style w:type="character" w:styleId="Annotationreference">
    <w:name w:val="annotation reference"/>
    <w:uiPriority w:val="99"/>
    <w:qFormat/>
    <w:rsid w:val="004842dd"/>
    <w:rPr>
      <w:sz w:val="16"/>
      <w:szCs w:val="16"/>
    </w:rPr>
  </w:style>
  <w:style w:type="character" w:styleId="TitleChar" w:customStyle="1">
    <w:name w:val="Title Char"/>
    <w:link w:val="Title"/>
    <w:qFormat/>
    <w:locked/>
    <w:rsid w:val="00553f9e"/>
    <w:rPr>
      <w:rFonts w:ascii="Arial" w:hAnsi="Arial"/>
      <w:b/>
      <w:sz w:val="28"/>
      <w:lang w:val="fr-BE" w:eastAsia="en-US" w:bidi="ar-SA"/>
    </w:rPr>
  </w:style>
  <w:style w:type="character" w:styleId="FooterChar" w:customStyle="1">
    <w:name w:val="Footer Char"/>
    <w:link w:val="Footer"/>
    <w:qFormat/>
    <w:rsid w:val="00745cc9"/>
    <w:rPr>
      <w:sz w:val="24"/>
      <w:lang w:eastAsia="en-US"/>
    </w:rPr>
  </w:style>
  <w:style w:type="character" w:styleId="CommentTextChar" w:customStyle="1">
    <w:name w:val="Comment Text Char"/>
    <w:link w:val="CommentText"/>
    <w:uiPriority w:val="99"/>
    <w:qFormat/>
    <w:rsid w:val="00c261b3"/>
    <w:rPr>
      <w:lang w:eastAsia="en-US"/>
    </w:rPr>
  </w:style>
  <w:style w:type="character" w:styleId="Hps" w:customStyle="1">
    <w:name w:val="hps"/>
    <w:qFormat/>
    <w:rsid w:val="00821569"/>
    <w:rPr/>
  </w:style>
  <w:style w:type="character" w:styleId="FootnoteTextChar" w:customStyle="1">
    <w:name w:val="Footnote Text Char"/>
    <w:link w:val="FootnoteText"/>
    <w:qFormat/>
    <w:rsid w:val="005c0f07"/>
    <w:rPr>
      <w:lang w:eastAsia="en-US"/>
    </w:rPr>
  </w:style>
  <w:style w:type="character" w:styleId="ArticleChar" w:customStyle="1">
    <w:name w:val="Article Char"/>
    <w:link w:val="Article"/>
    <w:qFormat/>
    <w:rsid w:val="009d3ddd"/>
    <w:rPr>
      <w:rFonts w:eastAsia="Calibri"/>
      <w:b/>
      <w:sz w:val="24"/>
      <w:szCs w:val="22"/>
      <w:lang w:eastAsia="en-US"/>
    </w:rPr>
  </w:style>
  <w:style w:type="character" w:styleId="PointarticleChar" w:customStyle="1">
    <w:name w:val="point article Char"/>
    <w:link w:val="pointarticle"/>
    <w:qFormat/>
    <w:rsid w:val="00022cf7"/>
    <w:rPr>
      <w:bCs/>
      <w:iCs/>
      <w:sz w:val="22"/>
      <w:szCs w:val="28"/>
      <w:lang w:eastAsia="en-US"/>
    </w:rPr>
  </w:style>
  <w:style w:type="character" w:styleId="ListLabel1">
    <w:name w:val="ListLabel 1"/>
    <w:qFormat/>
    <w:rPr>
      <w:sz w:val="22"/>
    </w:rPr>
  </w:style>
  <w:style w:type="character" w:styleId="ListLabel2">
    <w:name w:val="ListLabel 2"/>
    <w:qFormat/>
    <w:rPr>
      <w:b w:val="false"/>
      <w:i w:val="false"/>
      <w:sz w:val="22"/>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Times New Roman"/>
      <w:b/>
      <w:i w:val="false"/>
      <w:iCs w:val="false"/>
      <w:caps w:val="false"/>
      <w:smallCaps w:val="false"/>
      <w:strike w:val="false"/>
      <w:dstrike w:val="false"/>
      <w:outline w:val="false"/>
      <w:shadow w:val="false"/>
      <w:emboss w:val="false"/>
      <w:imprint w:val="false"/>
      <w:vanish w:val="false"/>
      <w:spacing w:val="0"/>
      <w:kern w:val="0"/>
      <w:position w:val="0"/>
      <w:sz w:val="24"/>
      <w:sz w:val="24"/>
      <w:u w:val="none"/>
      <w:vertAlign w:val="baseline"/>
    </w:rPr>
  </w:style>
  <w:style w:type="character" w:styleId="ListLabel10">
    <w:name w:val="ListLabel 10"/>
    <w:qFormat/>
    <w:rPr>
      <w:rFonts w:cs="Times New Roman"/>
      <w:b w:val="false"/>
      <w:bCs w:val="false"/>
      <w:i w:val="false"/>
      <w:iCs w:val="false"/>
      <w:caps w:val="false"/>
      <w:smallCaps w:val="false"/>
      <w:strike w:val="false"/>
      <w:dstrike w:val="false"/>
      <w:outline w:val="false"/>
      <w:shadow w:val="false"/>
      <w:emboss w:val="false"/>
      <w:imprint w:val="false"/>
      <w:vanish w:val="false"/>
      <w:color w:val="auto"/>
      <w:spacing w:val="0"/>
      <w:w w:val="100"/>
      <w:kern w:val="0"/>
      <w:position w:val="0"/>
      <w:sz w:val="22"/>
      <w:sz w:val="22"/>
      <w:u w:val="none"/>
      <w:effect w:val="none"/>
      <w:vertAlign w:val="baseline"/>
    </w:rPr>
  </w:style>
  <w:style w:type="character" w:styleId="ListLabel11">
    <w:name w:val="ListLabel 11"/>
    <w:qFormat/>
    <w:rPr>
      <w:rFonts w:cs="Times New Roman"/>
      <w:b w:val="false"/>
      <w:i w:val="false"/>
      <w:caps w:val="false"/>
      <w:smallCaps w:val="false"/>
      <w:strike w:val="false"/>
      <w:dstrike w:val="false"/>
      <w:outline w:val="false"/>
      <w:shadow w:val="false"/>
      <w:emboss w:val="false"/>
      <w:imprint w:val="false"/>
      <w:vanish w:val="false"/>
      <w:position w:val="0"/>
      <w:sz w:val="22"/>
      <w:sz w:val="22"/>
      <w:vertAlign w:val="baseline"/>
    </w:rPr>
  </w:style>
  <w:style w:type="character" w:styleId="ListLabel12">
    <w:name w:val="ListLabel 12"/>
    <w:qFormat/>
    <w:rPr>
      <w:rFonts w:cs="Times New Roman"/>
    </w:rPr>
  </w:style>
  <w:style w:type="character" w:styleId="ListLabel13">
    <w:name w:val="ListLabel 13"/>
    <w:qFormat/>
    <w:rPr>
      <w:rFonts w:cs="Times New Roman"/>
    </w:rPr>
  </w:style>
  <w:style w:type="character" w:styleId="ListLabel14">
    <w:name w:val="ListLabel 14"/>
    <w:qFormat/>
    <w:rPr>
      <w:rFonts w:cs="Times New Roman"/>
    </w:rPr>
  </w:style>
  <w:style w:type="character" w:styleId="ListLabel15">
    <w:name w:val="ListLabel 15"/>
    <w:qFormat/>
    <w:rPr>
      <w:rFonts w:cs="Times New Roman"/>
    </w:rPr>
  </w:style>
  <w:style w:type="character" w:styleId="ListLabel16">
    <w:name w:val="ListLabel 16"/>
    <w:qFormat/>
    <w:rPr>
      <w:rFonts w:cs="Times New Roman"/>
    </w:rPr>
  </w:style>
  <w:style w:type="character" w:styleId="ListLabel17">
    <w:name w:val="ListLabel 17"/>
    <w:qFormat/>
    <w:rPr>
      <w:rFonts w:cs="Times New Roman"/>
    </w:rPr>
  </w:style>
  <w:style w:type="character" w:styleId="EndnoteAnchor">
    <w:name w:val="Endnote Anchor"/>
    <w:rPr>
      <w:vertAlign w:val="superscript"/>
    </w:rPr>
  </w:style>
  <w:style w:type="character" w:styleId="EndnoteCharacters">
    <w:name w:val="Endnote Characters"/>
    <w:qFormat/>
    <w:rPr/>
  </w:style>
  <w:style w:type="character" w:styleId="ListLabel18">
    <w:name w:val="ListLabel 18"/>
    <w:qFormat/>
    <w:rPr>
      <w:sz w:val="22"/>
      <w:szCs w:val="22"/>
      <w:lang w:val="en-US"/>
    </w:rPr>
  </w:style>
  <w:style w:type="character" w:styleId="ListLabel19">
    <w:name w:val="ListLabel 19"/>
    <w:qFormat/>
    <w:rPr>
      <w:sz w:val="22"/>
      <w:szCs w:val="22"/>
      <w:lang w:val="en-US"/>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pPr>
      <w:jc w:val="both"/>
    </w:pPr>
    <w:rPr>
      <w:rFonts w:ascii="Arial" w:hAnsi="Arial"/>
      <w:sz w:val="20"/>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Oddlnadpis" w:customStyle="1">
    <w:name w:val="oddíl-nadpis"/>
    <w:basedOn w:val="Normal"/>
    <w:qFormat/>
    <w:pPr>
      <w:keepNext w:val="true"/>
      <w:widowControl w:val="false"/>
      <w:tabs>
        <w:tab w:val="clear" w:pos="720"/>
        <w:tab w:val="left" w:pos="567" w:leader="none"/>
      </w:tabs>
      <w:spacing w:lineRule="exact" w:line="240" w:before="240" w:after="0"/>
    </w:pPr>
    <w:rPr>
      <w:rFonts w:ascii="Arial" w:hAnsi="Arial"/>
      <w:b/>
      <w:lang w:val="cs-CZ"/>
    </w:rPr>
  </w:style>
  <w:style w:type="paragraph" w:styleId="Text3mezera" w:customStyle="1">
    <w:name w:val="text - 3 mezera"/>
    <w:basedOn w:val="Normal"/>
    <w:qFormat/>
    <w:pPr>
      <w:widowControl w:val="false"/>
      <w:spacing w:lineRule="exact" w:line="240" w:before="60" w:after="0"/>
      <w:jc w:val="both"/>
    </w:pPr>
    <w:rPr>
      <w:rFonts w:ascii="Arial" w:hAnsi="Arial"/>
      <w:lang w:val="cs-CZ"/>
    </w:rPr>
  </w:style>
  <w:style w:type="paragraph" w:styleId="1zanoren" w:customStyle="1">
    <w:name w:val="1.zanorení"/>
    <w:basedOn w:val="Text3mezera"/>
    <w:qFormat/>
    <w:pPr>
      <w:ind w:left="2127" w:hanging="1418"/>
    </w:pPr>
    <w:rPr/>
  </w:style>
  <w:style w:type="paragraph" w:styleId="2zanoren" w:customStyle="1">
    <w:name w:val="2.zanorení"/>
    <w:basedOn w:val="Text3mezera"/>
    <w:qFormat/>
    <w:pPr>
      <w:ind w:left="3402" w:hanging="1278"/>
    </w:pPr>
    <w:rPr/>
  </w:style>
  <w:style w:type="paragraph" w:styleId="Bulletsub" w:customStyle="1">
    <w:name w:val="bullet_sub"/>
    <w:basedOn w:val="Normal"/>
    <w:qFormat/>
    <w:pPr>
      <w:tabs>
        <w:tab w:val="left" w:pos="-1440" w:leader="none"/>
        <w:tab w:val="left" w:pos="-720" w:leader="none"/>
        <w:tab w:val="left" w:pos="567" w:leader="none"/>
        <w:tab w:val="left" w:pos="720" w:leader="none"/>
        <w:tab w:val="left" w:pos="1080" w:leader="none"/>
        <w:tab w:val="left" w:pos="1440" w:leader="none"/>
        <w:tab w:val="left" w:pos="1800" w:leader="none"/>
        <w:tab w:val="left" w:pos="252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s>
      <w:spacing w:before="240" w:after="0"/>
      <w:ind w:left="2912" w:hanging="360"/>
      <w:jc w:val="both"/>
    </w:pPr>
    <w:rPr>
      <w:rFonts w:ascii="Arial" w:hAnsi="Arial"/>
      <w:sz w:val="22"/>
    </w:rPr>
  </w:style>
  <w:style w:type="paragraph" w:styleId="Contents2">
    <w:name w:val="TOC 2"/>
    <w:basedOn w:val="Normal"/>
    <w:next w:val="Normal"/>
    <w:autoRedefine/>
    <w:semiHidden/>
    <w:pPr>
      <w:tabs>
        <w:tab w:val="clear" w:pos="720"/>
        <w:tab w:val="left" w:pos="1418" w:leader="none"/>
        <w:tab w:val="right" w:pos="9072" w:leader="hyphen"/>
      </w:tabs>
      <w:ind w:left="850" w:right="424" w:hanging="425"/>
      <w:jc w:val="both"/>
    </w:pPr>
    <w:rPr>
      <w:rFonts w:ascii="Arial" w:hAnsi="Arial"/>
      <w:b/>
      <w:smallCaps/>
      <w:sz w:val="22"/>
    </w:rPr>
  </w:style>
  <w:style w:type="paragraph" w:styleId="Contents1">
    <w:name w:val="TOC 1"/>
    <w:basedOn w:val="Normal"/>
    <w:next w:val="Normal"/>
    <w:autoRedefine/>
    <w:semiHidden/>
    <w:pPr>
      <w:tabs>
        <w:tab w:val="clear" w:pos="720"/>
        <w:tab w:val="left" w:pos="400" w:leader="none"/>
        <w:tab w:val="left" w:pos="851" w:leader="none"/>
        <w:tab w:val="left" w:pos="1701" w:leader="none"/>
        <w:tab w:val="right" w:pos="9062" w:leader="hyphen"/>
      </w:tabs>
    </w:pPr>
    <w:rPr>
      <w:i/>
      <w:sz w:val="22"/>
    </w:rPr>
  </w:style>
  <w:style w:type="paragraph" w:styleId="Bullet3" w:customStyle="1">
    <w:name w:val="bullet-3"/>
    <w:basedOn w:val="Normal"/>
    <w:qFormat/>
    <w:pPr>
      <w:widowControl w:val="false"/>
      <w:spacing w:lineRule="exact" w:line="240" w:before="240" w:after="0"/>
      <w:ind w:left="2212" w:hanging="284"/>
      <w:jc w:val="both"/>
    </w:pPr>
    <w:rPr>
      <w:rFonts w:ascii="Arial" w:hAnsi="Arial"/>
      <w:lang w:val="cs-CZ"/>
    </w:rPr>
  </w:style>
  <w:style w:type="paragraph" w:styleId="Footer">
    <w:name w:val="Footer"/>
    <w:basedOn w:val="Normal"/>
    <w:link w:val="FooterChar"/>
    <w:pPr>
      <w:tabs>
        <w:tab w:val="clear" w:pos="720"/>
        <w:tab w:val="center" w:pos="4320" w:leader="none"/>
        <w:tab w:val="right" w:pos="8640" w:leader="none"/>
      </w:tabs>
    </w:pPr>
    <w:rPr/>
  </w:style>
  <w:style w:type="paragraph" w:styleId="Header">
    <w:name w:val="Header"/>
    <w:basedOn w:val="Normal"/>
    <w:pPr>
      <w:tabs>
        <w:tab w:val="clear" w:pos="720"/>
        <w:tab w:val="center" w:pos="4536" w:leader="none"/>
        <w:tab w:val="right" w:pos="9072" w:leader="none"/>
      </w:tabs>
    </w:pPr>
    <w:rPr>
      <w:rFonts w:ascii="Arial" w:hAnsi="Arial"/>
      <w:sz w:val="20"/>
    </w:rPr>
  </w:style>
  <w:style w:type="paragraph" w:styleId="TextBodyIndent">
    <w:name w:val="Body Text Indent"/>
    <w:basedOn w:val="Normal"/>
    <w:pPr>
      <w:jc w:val="both"/>
    </w:pPr>
    <w:rPr>
      <w:sz w:val="22"/>
    </w:rPr>
  </w:style>
  <w:style w:type="paragraph" w:styleId="NormalIndent">
    <w:name w:val="Normal Indent"/>
    <w:basedOn w:val="Normal"/>
    <w:qFormat/>
    <w:pPr>
      <w:ind w:left="708" w:hanging="0"/>
    </w:pPr>
    <w:rPr>
      <w:rFonts w:ascii="Arial" w:hAnsi="Arial"/>
      <w:sz w:val="20"/>
    </w:rPr>
  </w:style>
  <w:style w:type="paragraph" w:styleId="Tabulka" w:customStyle="1">
    <w:name w:val="tabulka"/>
    <w:basedOn w:val="Text3mezera"/>
    <w:qFormat/>
    <w:pPr>
      <w:spacing w:before="120" w:after="0"/>
      <w:jc w:val="center"/>
    </w:pPr>
    <w:rPr>
      <w:sz w:val="20"/>
    </w:rPr>
  </w:style>
  <w:style w:type="paragraph" w:styleId="Footnote">
    <w:name w:val="Footnote Text"/>
    <w:basedOn w:val="Normal"/>
    <w:link w:val="FootnoteTextChar"/>
    <w:qFormat/>
    <w:pPr/>
    <w:rPr>
      <w:sz w:val="20"/>
    </w:rPr>
  </w:style>
  <w:style w:type="paragraph" w:styleId="Volume" w:customStyle="1">
    <w:name w:val="Volume"/>
    <w:basedOn w:val="Text"/>
    <w:next w:val="Section"/>
    <w:qFormat/>
    <w:pPr>
      <w:pageBreakBefore/>
      <w:spacing w:lineRule="exact" w:line="360" w:before="360" w:after="0"/>
      <w:jc w:val="center"/>
    </w:pPr>
    <w:rPr>
      <w:b/>
      <w:sz w:val="36"/>
    </w:rPr>
  </w:style>
  <w:style w:type="paragraph" w:styleId="Text" w:customStyle="1">
    <w:name w:val="text"/>
    <w:qFormat/>
    <w:pPr>
      <w:widowControl w:val="false"/>
      <w:bidi w:val="0"/>
      <w:spacing w:lineRule="exact" w:line="240" w:before="240" w:after="0"/>
      <w:jc w:val="both"/>
    </w:pPr>
    <w:rPr>
      <w:rFonts w:ascii="Arial" w:hAnsi="Arial" w:eastAsia="Times New Roman" w:cs="Times New Roman"/>
      <w:color w:val="auto"/>
      <w:kern w:val="0"/>
      <w:sz w:val="24"/>
      <w:szCs w:val="20"/>
      <w:lang w:val="cs-CZ" w:eastAsia="en-US" w:bidi="ar-SA"/>
    </w:rPr>
  </w:style>
  <w:style w:type="paragraph" w:styleId="Section" w:customStyle="1">
    <w:name w:val="Section"/>
    <w:basedOn w:val="Volume"/>
    <w:qFormat/>
    <w:pPr>
      <w:pageBreakBefore w:val="false"/>
      <w:spacing w:before="0" w:after="0"/>
    </w:pPr>
    <w:rPr>
      <w:sz w:val="32"/>
    </w:rPr>
  </w:style>
  <w:style w:type="paragraph" w:styleId="Textcslovan" w:customStyle="1">
    <w:name w:val="text císlovaný"/>
    <w:basedOn w:val="Text"/>
    <w:qFormat/>
    <w:pPr>
      <w:ind w:left="567" w:hanging="567"/>
    </w:pPr>
    <w:rPr/>
  </w:style>
  <w:style w:type="paragraph" w:styleId="NadpisSTRANA" w:customStyle="1">
    <w:name w:val="Nadpis - STRANA"/>
    <w:basedOn w:val="Text"/>
    <w:next w:val="Volume"/>
    <w:qFormat/>
    <w:pPr>
      <w:pageBreakBefore/>
      <w:spacing w:lineRule="exact" w:line="520" w:before="5040" w:after="0"/>
      <w:jc w:val="center"/>
    </w:pPr>
    <w:rPr>
      <w:b/>
      <w:sz w:val="36"/>
    </w:rPr>
  </w:style>
  <w:style w:type="paragraph" w:styleId="PlainText">
    <w:name w:val="Plain Text"/>
    <w:basedOn w:val="Normal"/>
    <w:qFormat/>
    <w:pPr/>
    <w:rPr>
      <w:rFonts w:ascii="Courier New" w:hAnsi="Courier New"/>
      <w:sz w:val="20"/>
    </w:rPr>
  </w:style>
  <w:style w:type="paragraph" w:styleId="Blockquote" w:customStyle="1">
    <w:name w:val="Blockquote"/>
    <w:basedOn w:val="Normal"/>
    <w:qFormat/>
    <w:pPr>
      <w:widowControl w:val="false"/>
      <w:spacing w:before="100" w:after="100"/>
      <w:ind w:left="360" w:right="360" w:hanging="0"/>
    </w:pPr>
    <w:rPr/>
  </w:style>
  <w:style w:type="paragraph" w:styleId="Text1" w:customStyle="1">
    <w:name w:val="Text 1"/>
    <w:basedOn w:val="Normal"/>
    <w:qFormat/>
    <w:pPr>
      <w:spacing w:before="120" w:after="120"/>
      <w:ind w:left="851" w:hanging="0"/>
      <w:jc w:val="both"/>
    </w:pPr>
    <w:rPr/>
  </w:style>
  <w:style w:type="paragraph" w:styleId="ManualNumPar1" w:customStyle="1">
    <w:name w:val="Manual NumPar 1"/>
    <w:basedOn w:val="Normal"/>
    <w:next w:val="Text1"/>
    <w:qFormat/>
    <w:pPr>
      <w:spacing w:before="120" w:after="120"/>
      <w:ind w:left="851" w:hanging="851"/>
      <w:jc w:val="both"/>
    </w:pPr>
    <w:rPr/>
  </w:style>
  <w:style w:type="paragraph" w:styleId="Point1" w:customStyle="1">
    <w:name w:val="Point 1"/>
    <w:basedOn w:val="Normal"/>
    <w:qFormat/>
    <w:pPr>
      <w:spacing w:before="120" w:after="120"/>
      <w:ind w:left="1418" w:hanging="567"/>
      <w:jc w:val="both"/>
    </w:pPr>
    <w:r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Contents3">
    <w:name w:val="TOC 3"/>
    <w:basedOn w:val="Normal"/>
    <w:next w:val="Normal"/>
    <w:autoRedefine/>
    <w:semiHidden/>
    <w:pPr>
      <w:ind w:left="480" w:hanging="0"/>
    </w:pPr>
    <w:rPr/>
  </w:style>
  <w:style w:type="paragraph" w:styleId="Contents4">
    <w:name w:val="TOC 4"/>
    <w:basedOn w:val="Normal"/>
    <w:next w:val="Normal"/>
    <w:autoRedefine/>
    <w:semiHidden/>
    <w:pPr>
      <w:ind w:left="720" w:hanging="0"/>
    </w:pPr>
    <w:rPr/>
  </w:style>
  <w:style w:type="paragraph" w:styleId="Contents5">
    <w:name w:val="TOC 5"/>
    <w:basedOn w:val="Normal"/>
    <w:next w:val="Normal"/>
    <w:semiHidden/>
    <w:rsid w:val="0028152c"/>
    <w:pPr>
      <w:tabs>
        <w:tab w:val="clear" w:pos="720"/>
        <w:tab w:val="right" w:pos="8641" w:leader="dot"/>
      </w:tabs>
      <w:spacing w:before="240" w:after="120"/>
      <w:ind w:right="720" w:hanging="0"/>
      <w:jc w:val="both"/>
    </w:pPr>
    <w:rPr>
      <w:caps/>
    </w:rPr>
  </w:style>
  <w:style w:type="paragraph" w:styleId="Contents6">
    <w:name w:val="TOC 6"/>
    <w:basedOn w:val="Normal"/>
    <w:next w:val="Normal"/>
    <w:autoRedefine/>
    <w:semiHidden/>
    <w:pPr>
      <w:ind w:left="1200" w:hanging="0"/>
    </w:pPr>
    <w:rPr/>
  </w:style>
  <w:style w:type="paragraph" w:styleId="Contents7">
    <w:name w:val="TOC 7"/>
    <w:basedOn w:val="Normal"/>
    <w:next w:val="Normal"/>
    <w:autoRedefine/>
    <w:semiHidden/>
    <w:pPr>
      <w:ind w:left="1440" w:hanging="0"/>
    </w:pPr>
    <w:rPr/>
  </w:style>
  <w:style w:type="paragraph" w:styleId="Contents8">
    <w:name w:val="TOC 8"/>
    <w:basedOn w:val="Normal"/>
    <w:next w:val="Normal"/>
    <w:autoRedefine/>
    <w:semiHidden/>
    <w:pPr>
      <w:ind w:left="1680" w:hanging="0"/>
    </w:pPr>
    <w:rPr/>
  </w:style>
  <w:style w:type="paragraph" w:styleId="Contents9">
    <w:name w:val="TOC 9"/>
    <w:basedOn w:val="Normal"/>
    <w:next w:val="Normal"/>
    <w:autoRedefine/>
    <w:semiHidden/>
    <w:pPr>
      <w:ind w:left="1920" w:hanging="0"/>
    </w:pPr>
    <w:rPr/>
  </w:style>
  <w:style w:type="paragraph" w:styleId="BalloonText">
    <w:name w:val="Balloon Text"/>
    <w:basedOn w:val="Normal"/>
    <w:semiHidden/>
    <w:qFormat/>
    <w:rsid w:val="0087152f"/>
    <w:pPr/>
    <w:rPr>
      <w:rFonts w:ascii="Tahoma" w:hAnsi="Tahoma" w:cs="Tahoma"/>
      <w:sz w:val="16"/>
      <w:szCs w:val="16"/>
    </w:rPr>
  </w:style>
  <w:style w:type="paragraph" w:styleId="Titre4" w:customStyle="1">
    <w:name w:val="titre4"/>
    <w:basedOn w:val="Normal"/>
    <w:qFormat/>
    <w:pPr>
      <w:tabs>
        <w:tab w:val="clear" w:pos="720"/>
        <w:tab w:val="decimal" w:pos="357" w:leader="none"/>
      </w:tabs>
      <w:ind w:left="357" w:hanging="357"/>
    </w:pPr>
    <w:rPr>
      <w:rFonts w:ascii="Arial" w:hAnsi="Arial"/>
      <w:b/>
    </w:rPr>
  </w:style>
  <w:style w:type="paragraph" w:styleId="Index1">
    <w:name w:val="index 1"/>
    <w:basedOn w:val="Normal"/>
    <w:next w:val="Normal"/>
    <w:autoRedefine/>
    <w:semiHidden/>
    <w:qFormat/>
    <w:pPr>
      <w:ind w:left="240" w:hanging="240"/>
    </w:pPr>
    <w:rPr/>
  </w:style>
  <w:style w:type="paragraph" w:styleId="BodyText2">
    <w:name w:val="Body Text 2"/>
    <w:basedOn w:val="Normal"/>
    <w:qFormat/>
    <w:rsid w:val="0068234b"/>
    <w:pPr>
      <w:tabs>
        <w:tab w:val="clear" w:pos="720"/>
        <w:tab w:val="left" w:pos="567" w:leader="none"/>
      </w:tabs>
      <w:jc w:val="both"/>
    </w:pPr>
    <w:rPr>
      <w:lang w:val="sv-SE" w:eastAsia="en-GB"/>
    </w:rPr>
  </w:style>
  <w:style w:type="paragraph" w:styleId="CharCharCharCharCharCharCharCharCharCharCharCharCharCharCharCharCharCharCharCharCharCharCharCharCharCharChar" w:customStyle="1">
    <w:name w:val="Char Char Char Char Char Char Char Char Char Char Char Char Char Char Char Char Char Char Char Char Char Char Char Char Char Char Char"/>
    <w:basedOn w:val="Normal"/>
    <w:next w:val="Normal"/>
    <w:qFormat/>
    <w:rsid w:val="0068234b"/>
    <w:pPr>
      <w:spacing w:lineRule="exact" w:line="240" w:before="0" w:after="160"/>
    </w:pPr>
    <w:rPr>
      <w:rFonts w:ascii="Tahoma" w:hAnsi="Tahoma"/>
      <w:lang w:val="en-US"/>
    </w:rPr>
  </w:style>
  <w:style w:type="paragraph" w:styleId="Corpsarticle" w:customStyle="1">
    <w:name w:val="corps_article"/>
    <w:basedOn w:val="TextBody"/>
    <w:qFormat/>
    <w:rsid w:val="001050ee"/>
    <w:pPr>
      <w:spacing w:before="60" w:after="60"/>
      <w:ind w:right="-1" w:hanging="0"/>
    </w:pPr>
    <w:rPr>
      <w:rFonts w:ascii="Times New Roman" w:hAnsi="Times New Roman"/>
      <w:sz w:val="22"/>
      <w:lang w:eastAsia="fr-FR"/>
    </w:rPr>
  </w:style>
  <w:style w:type="paragraph" w:styleId="Evidence1" w:customStyle="1">
    <w:name w:val="evidence1"/>
    <w:basedOn w:val="Normal"/>
    <w:qFormat/>
    <w:rsid w:val="001050ee"/>
    <w:pPr>
      <w:spacing w:lineRule="auto" w:line="360"/>
      <w:ind w:left="1134" w:hanging="283"/>
      <w:jc w:val="both"/>
    </w:pPr>
    <w:rPr>
      <w:rFonts w:ascii="Arial" w:hAnsi="Arial" w:cs="Arial"/>
      <w:sz w:val="20"/>
      <w:lang w:eastAsia="en-GB"/>
    </w:rPr>
  </w:style>
  <w:style w:type="paragraph" w:styleId="DocumentMap">
    <w:name w:val="Document Map"/>
    <w:basedOn w:val="Normal"/>
    <w:semiHidden/>
    <w:qFormat/>
    <w:rsid w:val="005478e4"/>
    <w:pPr>
      <w:shd w:val="clear" w:color="auto" w:fill="000080"/>
    </w:pPr>
    <w:rPr>
      <w:rFonts w:ascii="Tahoma" w:hAnsi="Tahoma" w:cs="Tahoma"/>
      <w:sz w:val="20"/>
      <w:lang w:eastAsia="en-GB"/>
    </w:rPr>
  </w:style>
  <w:style w:type="paragraph" w:styleId="Style21" w:customStyle="1">
    <w:name w:val="Style2"/>
    <w:basedOn w:val="Normal"/>
    <w:next w:val="Normal"/>
    <w:autoRedefine/>
    <w:qFormat/>
    <w:rsid w:val="005478e4"/>
    <w:pPr>
      <w:widowControl w:val="false"/>
      <w:shd w:val="clear" w:color="auto" w:fill="FFFFFF"/>
      <w:tabs>
        <w:tab w:val="clear" w:pos="720"/>
        <w:tab w:val="left" w:pos="360" w:leader="none"/>
        <w:tab w:val="left" w:pos="1620" w:leader="none"/>
      </w:tabs>
      <w:spacing w:before="173" w:after="0"/>
      <w:ind w:left="1616" w:right="6" w:hanging="352"/>
      <w:jc w:val="both"/>
    </w:pPr>
    <w:rPr>
      <w:color w:val="000000"/>
      <w:sz w:val="22"/>
      <w:szCs w:val="22"/>
      <w:lang w:val="en-US"/>
    </w:rPr>
  </w:style>
  <w:style w:type="paragraph" w:styleId="Style11ptBlackJustifiedRight001cmBefore865ptL" w:customStyle="1">
    <w:name w:val="Style 11 pt Black Justified Right:  001 cm Before:  865 pt L..."/>
    <w:basedOn w:val="Normal"/>
    <w:next w:val="Normal"/>
    <w:autoRedefine/>
    <w:qFormat/>
    <w:rsid w:val="005478e4"/>
    <w:pPr>
      <w:shd w:val="clear" w:color="auto" w:fill="FFFFFF"/>
      <w:tabs>
        <w:tab w:val="clear" w:pos="720"/>
        <w:tab w:val="right" w:pos="1701" w:leader="none"/>
      </w:tabs>
      <w:spacing w:lineRule="exact" w:line="212" w:before="60" w:after="120"/>
      <w:ind w:right="6" w:hanging="0"/>
      <w:jc w:val="both"/>
    </w:pPr>
    <w:rPr>
      <w:color w:val="000000"/>
      <w:sz w:val="22"/>
      <w:lang w:eastAsia="en-GB"/>
    </w:rPr>
  </w:style>
  <w:style w:type="paragraph" w:styleId="StyleHeading3" w:customStyle="1">
    <w:name w:val="Style Heading 3"/>
    <w:basedOn w:val="Heading3"/>
    <w:next w:val="Normal"/>
    <w:link w:val="StyleHeading3Char"/>
    <w:autoRedefine/>
    <w:qFormat/>
    <w:rsid w:val="005478e4"/>
    <w:pPr>
      <w:keepNext w:val="false"/>
      <w:keepLines/>
      <w:tabs>
        <w:tab w:val="clear" w:pos="720"/>
        <w:tab w:val="left" w:pos="567" w:leader="none"/>
        <w:tab w:val="left" w:pos="1134" w:leader="none"/>
      </w:tabs>
      <w:spacing w:before="120" w:after="120"/>
      <w:ind w:left="1134" w:hanging="567"/>
      <w:jc w:val="both"/>
    </w:pPr>
    <w:rPr>
      <w:bCs/>
      <w:sz w:val="22"/>
      <w:szCs w:val="26"/>
      <w:lang w:val="en-US"/>
    </w:rPr>
  </w:style>
  <w:style w:type="paragraph" w:styleId="Normal2" w:customStyle="1">
    <w:name w:val="Normal2"/>
    <w:basedOn w:val="Normal"/>
    <w:next w:val="Normal"/>
    <w:link w:val="Normal2Char"/>
    <w:autoRedefine/>
    <w:qFormat/>
    <w:rsid w:val="005478e4"/>
    <w:pPr>
      <w:shd w:val="clear" w:color="auto" w:fill="FFFFFF"/>
      <w:spacing w:before="120" w:after="240"/>
      <w:ind w:left="567" w:right="6" w:hanging="0"/>
      <w:jc w:val="both"/>
    </w:pPr>
    <w:rPr>
      <w:color w:val="000000"/>
      <w:sz w:val="22"/>
      <w:szCs w:val="22"/>
      <w:lang w:val="en-US"/>
    </w:rPr>
  </w:style>
  <w:style w:type="paragraph" w:styleId="Normal3" w:customStyle="1">
    <w:name w:val="Normal3"/>
    <w:basedOn w:val="Normal2"/>
    <w:autoRedefine/>
    <w:qFormat/>
    <w:rsid w:val="005478e4"/>
    <w:pPr>
      <w:shd w:val="clear" w:fill="FFFFFF"/>
      <w:ind w:left="1134" w:right="6" w:hanging="0"/>
    </w:pPr>
    <w:rPr/>
  </w:style>
  <w:style w:type="paragraph" w:styleId="Style31" w:customStyle="1">
    <w:name w:val="Style3"/>
    <w:basedOn w:val="Normal2"/>
    <w:autoRedefine/>
    <w:qFormat/>
    <w:rsid w:val="005478e4"/>
    <w:pPr>
      <w:shd w:val="clear" w:fill="FFFFFF"/>
      <w:ind w:left="1134" w:right="0" w:hanging="0"/>
    </w:pPr>
    <w:rPr/>
  </w:style>
  <w:style w:type="paragraph" w:styleId="Normal3tiret" w:customStyle="1">
    <w:name w:val="Normal3tiret"/>
    <w:basedOn w:val="Normal3"/>
    <w:autoRedefine/>
    <w:qFormat/>
    <w:rsid w:val="005478e4"/>
    <w:pPr>
      <w:shd w:val="clear" w:fill="FFFFFF"/>
      <w:tabs>
        <w:tab w:val="clear" w:pos="720"/>
        <w:tab w:val="left" w:pos="1304" w:leader="none"/>
      </w:tabs>
      <w:ind w:left="1304" w:right="0" w:hanging="170"/>
    </w:pPr>
    <w:rPr/>
  </w:style>
  <w:style w:type="paragraph" w:styleId="Normal12" w:customStyle="1">
    <w:name w:val="Normal 12"/>
    <w:basedOn w:val="Normal"/>
    <w:qFormat/>
    <w:rsid w:val="00f9163a"/>
    <w:pPr/>
    <w:rPr>
      <w:lang w:eastAsia="en-GB"/>
    </w:rPr>
  </w:style>
  <w:style w:type="paragraph" w:styleId="Text2" w:customStyle="1">
    <w:name w:val="Text 2"/>
    <w:basedOn w:val="Normal"/>
    <w:qFormat/>
    <w:rsid w:val="00f9163a"/>
    <w:pPr>
      <w:tabs>
        <w:tab w:val="clear" w:pos="720"/>
        <w:tab w:val="left" w:pos="2160" w:leader="none"/>
      </w:tabs>
      <w:spacing w:before="0" w:after="240"/>
      <w:ind w:left="1077" w:hanging="0"/>
      <w:jc w:val="both"/>
    </w:pPr>
    <w:rPr/>
  </w:style>
  <w:style w:type="paragraph" w:styleId="Heading3Verdana" w:customStyle="1">
    <w:name w:val="Heading 3 + Verdana"/>
    <w:basedOn w:val="Heading2"/>
    <w:qFormat/>
    <w:rsid w:val="00641155"/>
    <w:pPr>
      <w:spacing w:before="0" w:after="240"/>
      <w:ind w:left="284" w:hanging="0"/>
      <w:jc w:val="center"/>
    </w:pPr>
    <w:rPr>
      <w:rFonts w:ascii="Verdana" w:hAnsi="Verdana"/>
      <w:sz w:val="22"/>
      <w:szCs w:val="22"/>
      <w:u w:val="single"/>
      <w:lang w:val="fr-BE"/>
    </w:rPr>
  </w:style>
  <w:style w:type="paragraph" w:styleId="Annexetitle" w:customStyle="1">
    <w:name w:val="Annexe_title"/>
    <w:basedOn w:val="Heading1"/>
    <w:next w:val="Normal"/>
    <w:autoRedefine/>
    <w:qFormat/>
    <w:rsid w:val="007f037f"/>
    <w:pPr>
      <w:keepNext w:val="false"/>
      <w:pageBreakBefore/>
      <w:tabs>
        <w:tab w:val="clear" w:pos="720"/>
        <w:tab w:val="left" w:pos="1701" w:leader="none"/>
        <w:tab w:val="left" w:pos="2552" w:leader="none"/>
      </w:tabs>
      <w:spacing w:before="240" w:after="240"/>
    </w:pPr>
    <w:rPr>
      <w:caps/>
      <w:color w:val="auto"/>
      <w:lang w:eastAsia="en-GB"/>
    </w:rPr>
  </w:style>
  <w:style w:type="paragraph" w:styleId="Titlefront" w:customStyle="1">
    <w:name w:val="title_front"/>
    <w:basedOn w:val="Normal"/>
    <w:qFormat/>
    <w:rsid w:val="00f85039"/>
    <w:pPr>
      <w:spacing w:before="240" w:after="0"/>
      <w:ind w:left="1701" w:hanging="0"/>
      <w:jc w:val="right"/>
    </w:pPr>
    <w:rPr>
      <w:rFonts w:ascii="Optima" w:hAnsi="Optima"/>
      <w:b/>
      <w:sz w:val="28"/>
      <w:lang w:eastAsia="en-GB"/>
    </w:rPr>
  </w:style>
  <w:style w:type="paragraph" w:styleId="BlockText">
    <w:name w:val="Block Text"/>
    <w:basedOn w:val="Normal"/>
    <w:qFormat/>
    <w:rsid w:val="00f85039"/>
    <w:pPr>
      <w:keepNext w:val="true"/>
      <w:ind w:left="113" w:right="113" w:hanging="0"/>
      <w:jc w:val="both"/>
    </w:pPr>
    <w:rPr>
      <w:rFonts w:ascii="Arial" w:hAnsi="Arial" w:cs="Arial"/>
      <w:sz w:val="20"/>
      <w:lang w:eastAsia="en-GB"/>
    </w:rPr>
  </w:style>
  <w:style w:type="paragraph" w:styleId="Char2" w:customStyle="1">
    <w:name w:val="Char2"/>
    <w:basedOn w:val="Normal"/>
    <w:qFormat/>
    <w:rsid w:val="00b7615b"/>
    <w:pPr>
      <w:spacing w:lineRule="exact" w:line="240" w:before="0" w:after="160"/>
    </w:pPr>
    <w:rPr>
      <w:rFonts w:ascii="Tahoma" w:hAnsi="Tahoma"/>
      <w:sz w:val="20"/>
      <w:lang w:val="en-US"/>
    </w:rPr>
  </w:style>
  <w:style w:type="paragraph" w:styleId="Classification" w:customStyle="1">
    <w:name w:val="classification"/>
    <w:basedOn w:val="Normal"/>
    <w:qFormat/>
    <w:rsid w:val="00582940"/>
    <w:pPr>
      <w:tabs>
        <w:tab w:val="left" w:pos="-1440" w:leader="none"/>
        <w:tab w:val="left" w:pos="-720" w:leader="none"/>
        <w:tab w:val="left" w:pos="567" w:leader="none"/>
        <w:tab w:val="left" w:pos="720" w:leader="none"/>
        <w:tab w:val="left" w:pos="1080" w:leader="none"/>
        <w:tab w:val="left" w:pos="1440" w:leader="none"/>
        <w:tab w:val="left" w:pos="1800" w:leader="none"/>
        <w:tab w:val="left" w:pos="252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s>
      <w:jc w:val="center"/>
    </w:pPr>
    <w:rPr>
      <w:rFonts w:ascii="Arial" w:hAnsi="Arial"/>
      <w:caps/>
      <w:sz w:val="22"/>
      <w:lang w:eastAsia="en-GB"/>
    </w:rPr>
  </w:style>
  <w:style w:type="paragraph" w:styleId="Annotationtext">
    <w:name w:val="annotation text"/>
    <w:basedOn w:val="Normal"/>
    <w:link w:val="CommentTextChar"/>
    <w:uiPriority w:val="99"/>
    <w:qFormat/>
    <w:rsid w:val="004842dd"/>
    <w:pPr/>
    <w:rPr>
      <w:sz w:val="20"/>
    </w:rPr>
  </w:style>
  <w:style w:type="paragraph" w:styleId="Annotationsubject">
    <w:name w:val="annotation subject"/>
    <w:basedOn w:val="Annotationtext"/>
    <w:next w:val="Annotationtext"/>
    <w:semiHidden/>
    <w:qFormat/>
    <w:rsid w:val="004842dd"/>
    <w:pPr/>
    <w:rPr>
      <w:b/>
      <w:bCs/>
    </w:rPr>
  </w:style>
  <w:style w:type="paragraph" w:styleId="ListNumber">
    <w:name w:val="List Number"/>
    <w:basedOn w:val="Normal"/>
    <w:qFormat/>
    <w:rsid w:val="0028152c"/>
    <w:pPr>
      <w:spacing w:before="0" w:after="240"/>
      <w:jc w:val="both"/>
    </w:pPr>
    <w:rPr/>
  </w:style>
  <w:style w:type="paragraph" w:styleId="ListNumberLevel2" w:customStyle="1">
    <w:name w:val="List Number (Level 2)"/>
    <w:basedOn w:val="Normal"/>
    <w:qFormat/>
    <w:rsid w:val="0028152c"/>
    <w:pPr>
      <w:spacing w:before="0" w:after="240"/>
      <w:jc w:val="both"/>
    </w:pPr>
    <w:rPr/>
  </w:style>
  <w:style w:type="paragraph" w:styleId="ListNumberLevel3" w:customStyle="1">
    <w:name w:val="List Number (Level 3)"/>
    <w:basedOn w:val="Normal"/>
    <w:qFormat/>
    <w:rsid w:val="0028152c"/>
    <w:pPr>
      <w:spacing w:before="0" w:after="240"/>
      <w:jc w:val="both"/>
    </w:pPr>
    <w:rPr/>
  </w:style>
  <w:style w:type="paragraph" w:styleId="ListNumberLevel4" w:customStyle="1">
    <w:name w:val="List Number (Level 4)"/>
    <w:basedOn w:val="Normal"/>
    <w:qFormat/>
    <w:rsid w:val="0028152c"/>
    <w:pPr>
      <w:spacing w:before="0" w:after="240"/>
      <w:jc w:val="both"/>
    </w:pPr>
    <w:rPr/>
  </w:style>
  <w:style w:type="paragraph" w:styleId="ListParagraph">
    <w:name w:val="List Paragraph"/>
    <w:basedOn w:val="Normal"/>
    <w:uiPriority w:val="34"/>
    <w:qFormat/>
    <w:rsid w:val="00ec36a1"/>
    <w:pPr>
      <w:ind w:left="720" w:hanging="0"/>
    </w:pPr>
    <w:rPr>
      <w:rFonts w:ascii="Calibri" w:hAnsi="Calibri"/>
      <w:sz w:val="22"/>
      <w:szCs w:val="22"/>
      <w:lang w:val="fr-BE"/>
    </w:rPr>
  </w:style>
  <w:style w:type="paragraph" w:styleId="Revision">
    <w:name w:val="Revision"/>
    <w:uiPriority w:val="99"/>
    <w:semiHidden/>
    <w:qFormat/>
    <w:rsid w:val="00f02160"/>
    <w:pPr>
      <w:widowControl/>
      <w:bidi w:val="0"/>
      <w:jc w:val="left"/>
    </w:pPr>
    <w:rPr>
      <w:rFonts w:ascii="Times New Roman" w:hAnsi="Times New Roman" w:eastAsia="Times New Roman" w:cs="Times New Roman"/>
      <w:color w:val="auto"/>
      <w:kern w:val="0"/>
      <w:sz w:val="24"/>
      <w:szCs w:val="20"/>
      <w:lang w:val="en-GB" w:eastAsia="en-US" w:bidi="ar-SA"/>
    </w:rPr>
  </w:style>
  <w:style w:type="paragraph" w:styleId="Contact" w:customStyle="1">
    <w:name w:val="Contact"/>
    <w:basedOn w:val="Normal"/>
    <w:next w:val="Normal"/>
    <w:qFormat/>
    <w:rsid w:val="0028152c"/>
    <w:pPr>
      <w:spacing w:before="0" w:after="480"/>
      <w:ind w:left="567" w:hanging="567"/>
    </w:pPr>
    <w:rPr/>
  </w:style>
  <w:style w:type="paragraph" w:styleId="ListBullet">
    <w:name w:val="List Bullet"/>
    <w:basedOn w:val="Normal"/>
    <w:qFormat/>
    <w:rsid w:val="0028152c"/>
    <w:pPr>
      <w:spacing w:before="0" w:after="240"/>
      <w:jc w:val="both"/>
    </w:pPr>
    <w:rPr/>
  </w:style>
  <w:style w:type="paragraph" w:styleId="ListBullet1" w:customStyle="1">
    <w:name w:val="List Bullet 1"/>
    <w:basedOn w:val="Text1"/>
    <w:qFormat/>
    <w:rsid w:val="0028152c"/>
    <w:pPr>
      <w:spacing w:before="0" w:after="240"/>
    </w:pPr>
    <w:rPr/>
  </w:style>
  <w:style w:type="paragraph" w:styleId="ListBullet2">
    <w:name w:val="List Bullet 2"/>
    <w:basedOn w:val="Text2"/>
    <w:qFormat/>
    <w:rsid w:val="0028152c"/>
    <w:pPr>
      <w:tabs>
        <w:tab w:val="clear" w:pos="2160"/>
      </w:tabs>
    </w:pPr>
    <w:rPr/>
  </w:style>
  <w:style w:type="paragraph" w:styleId="ListBullet3">
    <w:name w:val="List Bullet 3"/>
    <w:basedOn w:val="Normal"/>
    <w:qFormat/>
    <w:rsid w:val="0028152c"/>
    <w:pPr>
      <w:spacing w:before="0" w:after="240"/>
      <w:jc w:val="both"/>
    </w:pPr>
    <w:rPr/>
  </w:style>
  <w:style w:type="paragraph" w:styleId="ListBullet4">
    <w:name w:val="List Bullet 4"/>
    <w:basedOn w:val="Normal"/>
    <w:qFormat/>
    <w:rsid w:val="0028152c"/>
    <w:pPr>
      <w:spacing w:before="0" w:after="240"/>
      <w:jc w:val="both"/>
    </w:pPr>
    <w:rPr/>
  </w:style>
  <w:style w:type="paragraph" w:styleId="ListDash" w:customStyle="1">
    <w:name w:val="List Dash"/>
    <w:basedOn w:val="Normal"/>
    <w:qFormat/>
    <w:rsid w:val="0028152c"/>
    <w:pPr>
      <w:spacing w:before="0" w:after="240"/>
      <w:jc w:val="both"/>
    </w:pPr>
    <w:rPr/>
  </w:style>
  <w:style w:type="paragraph" w:styleId="ListDash1" w:customStyle="1">
    <w:name w:val="List Dash 1"/>
    <w:basedOn w:val="Text1"/>
    <w:qFormat/>
    <w:rsid w:val="0028152c"/>
    <w:pPr>
      <w:spacing w:before="0" w:after="240"/>
    </w:pPr>
    <w:rPr/>
  </w:style>
  <w:style w:type="paragraph" w:styleId="ListDash2" w:customStyle="1">
    <w:name w:val="List Dash 2"/>
    <w:basedOn w:val="Text2"/>
    <w:qFormat/>
    <w:rsid w:val="0028152c"/>
    <w:pPr>
      <w:tabs>
        <w:tab w:val="clear" w:pos="2160"/>
      </w:tabs>
    </w:pPr>
    <w:rPr/>
  </w:style>
  <w:style w:type="paragraph" w:styleId="ListDash3" w:customStyle="1">
    <w:name w:val="List Dash 3"/>
    <w:basedOn w:val="Normal"/>
    <w:qFormat/>
    <w:rsid w:val="0028152c"/>
    <w:pPr>
      <w:spacing w:before="0" w:after="240"/>
      <w:jc w:val="both"/>
    </w:pPr>
    <w:rPr/>
  </w:style>
  <w:style w:type="paragraph" w:styleId="ListDash4" w:customStyle="1">
    <w:name w:val="List Dash 4"/>
    <w:basedOn w:val="Normal"/>
    <w:qFormat/>
    <w:rsid w:val="0028152c"/>
    <w:pPr>
      <w:spacing w:before="0" w:after="240"/>
      <w:jc w:val="both"/>
    </w:pPr>
    <w:rPr/>
  </w:style>
  <w:style w:type="paragraph" w:styleId="ListNumber1" w:customStyle="1">
    <w:name w:val="List Number 1"/>
    <w:basedOn w:val="Text1"/>
    <w:qFormat/>
    <w:rsid w:val="0028152c"/>
    <w:pPr>
      <w:spacing w:before="0" w:after="240"/>
    </w:pPr>
    <w:rPr/>
  </w:style>
  <w:style w:type="paragraph" w:styleId="ListNumber2">
    <w:name w:val="List Number 2"/>
    <w:basedOn w:val="Text2"/>
    <w:qFormat/>
    <w:rsid w:val="0028152c"/>
    <w:pPr>
      <w:tabs>
        <w:tab w:val="clear" w:pos="2160"/>
      </w:tabs>
    </w:pPr>
    <w:rPr/>
  </w:style>
  <w:style w:type="paragraph" w:styleId="ListNumber3">
    <w:name w:val="List Number 3"/>
    <w:basedOn w:val="Normal"/>
    <w:qFormat/>
    <w:rsid w:val="0028152c"/>
    <w:pPr>
      <w:spacing w:before="0" w:after="240"/>
      <w:jc w:val="both"/>
    </w:pPr>
    <w:rPr/>
  </w:style>
  <w:style w:type="paragraph" w:styleId="ListNumber4">
    <w:name w:val="List Number 4"/>
    <w:basedOn w:val="Normal"/>
    <w:qFormat/>
    <w:rsid w:val="0028152c"/>
    <w:pPr>
      <w:spacing w:before="0" w:after="240"/>
      <w:jc w:val="both"/>
    </w:pPr>
    <w:rPr/>
  </w:style>
  <w:style w:type="paragraph" w:styleId="ListNumber1Level2" w:customStyle="1">
    <w:name w:val="List Number 1 (Level 2)"/>
    <w:basedOn w:val="Text1"/>
    <w:qFormat/>
    <w:rsid w:val="0028152c"/>
    <w:pPr>
      <w:spacing w:before="0" w:after="240"/>
    </w:pPr>
    <w:rPr/>
  </w:style>
  <w:style w:type="paragraph" w:styleId="ListNumber2Level2" w:customStyle="1">
    <w:name w:val="List Number 2 (Level 2)"/>
    <w:basedOn w:val="Text2"/>
    <w:qFormat/>
    <w:rsid w:val="0028152c"/>
    <w:pPr>
      <w:tabs>
        <w:tab w:val="clear" w:pos="2160"/>
      </w:tabs>
    </w:pPr>
    <w:rPr/>
  </w:style>
  <w:style w:type="paragraph" w:styleId="ListNumber3Level2" w:customStyle="1">
    <w:name w:val="List Number 3 (Level 2)"/>
    <w:basedOn w:val="Normal"/>
    <w:qFormat/>
    <w:rsid w:val="0028152c"/>
    <w:pPr>
      <w:spacing w:before="0" w:after="240"/>
      <w:jc w:val="both"/>
    </w:pPr>
    <w:rPr/>
  </w:style>
  <w:style w:type="paragraph" w:styleId="ListNumber4Level2" w:customStyle="1">
    <w:name w:val="List Number 4 (Level 2)"/>
    <w:basedOn w:val="Normal"/>
    <w:qFormat/>
    <w:rsid w:val="0028152c"/>
    <w:pPr>
      <w:spacing w:before="0" w:after="240"/>
      <w:jc w:val="both"/>
    </w:pPr>
    <w:rPr/>
  </w:style>
  <w:style w:type="paragraph" w:styleId="ListNumber1Level3" w:customStyle="1">
    <w:name w:val="List Number 1 (Level 3)"/>
    <w:basedOn w:val="Text1"/>
    <w:qFormat/>
    <w:rsid w:val="0028152c"/>
    <w:pPr>
      <w:spacing w:before="0" w:after="240"/>
    </w:pPr>
    <w:rPr/>
  </w:style>
  <w:style w:type="paragraph" w:styleId="ListNumber2Level3" w:customStyle="1">
    <w:name w:val="List Number 2 (Level 3)"/>
    <w:basedOn w:val="Text2"/>
    <w:qFormat/>
    <w:rsid w:val="0028152c"/>
    <w:pPr>
      <w:tabs>
        <w:tab w:val="clear" w:pos="2160"/>
      </w:tabs>
    </w:pPr>
    <w:rPr/>
  </w:style>
  <w:style w:type="paragraph" w:styleId="ListNumber3Level3" w:customStyle="1">
    <w:name w:val="List Number 3 (Level 3)"/>
    <w:basedOn w:val="Normal"/>
    <w:qFormat/>
    <w:rsid w:val="0028152c"/>
    <w:pPr>
      <w:spacing w:before="0" w:after="240"/>
      <w:jc w:val="both"/>
    </w:pPr>
    <w:rPr/>
  </w:style>
  <w:style w:type="paragraph" w:styleId="ListNumber4Level3" w:customStyle="1">
    <w:name w:val="List Number 4 (Level 3)"/>
    <w:basedOn w:val="Normal"/>
    <w:qFormat/>
    <w:rsid w:val="0028152c"/>
    <w:pPr>
      <w:spacing w:before="0" w:after="240"/>
      <w:jc w:val="both"/>
    </w:pPr>
    <w:rPr/>
  </w:style>
  <w:style w:type="paragraph" w:styleId="ListNumber1Level4" w:customStyle="1">
    <w:name w:val="List Number 1 (Level 4)"/>
    <w:basedOn w:val="Text1"/>
    <w:qFormat/>
    <w:rsid w:val="0028152c"/>
    <w:pPr>
      <w:spacing w:before="0" w:after="240"/>
    </w:pPr>
    <w:rPr/>
  </w:style>
  <w:style w:type="paragraph" w:styleId="ListNumber2Level4" w:customStyle="1">
    <w:name w:val="List Number 2 (Level 4)"/>
    <w:basedOn w:val="Text2"/>
    <w:qFormat/>
    <w:rsid w:val="0028152c"/>
    <w:pPr>
      <w:tabs>
        <w:tab w:val="clear" w:pos="2160"/>
      </w:tabs>
    </w:pPr>
    <w:rPr/>
  </w:style>
  <w:style w:type="paragraph" w:styleId="ListNumber3Level4" w:customStyle="1">
    <w:name w:val="List Number 3 (Level 4)"/>
    <w:basedOn w:val="Normal"/>
    <w:qFormat/>
    <w:rsid w:val="0028152c"/>
    <w:pPr>
      <w:spacing w:before="0" w:after="240"/>
      <w:jc w:val="both"/>
    </w:pPr>
    <w:rPr/>
  </w:style>
  <w:style w:type="paragraph" w:styleId="ListNumber4Level4" w:customStyle="1">
    <w:name w:val="List Number 4 (Level 4)"/>
    <w:basedOn w:val="Normal"/>
    <w:qFormat/>
    <w:rsid w:val="0028152c"/>
    <w:pPr>
      <w:spacing w:before="0" w:after="240"/>
      <w:jc w:val="both"/>
    </w:pPr>
    <w:rPr/>
  </w:style>
  <w:style w:type="paragraph" w:styleId="TOCHeading">
    <w:name w:val="TOC Heading"/>
    <w:basedOn w:val="Normal"/>
    <w:next w:val="Normal"/>
    <w:qFormat/>
    <w:rsid w:val="0028152c"/>
    <w:pPr>
      <w:keepNext w:val="true"/>
      <w:spacing w:before="240" w:after="240"/>
      <w:jc w:val="center"/>
    </w:pPr>
    <w:rPr>
      <w:b/>
    </w:rPr>
  </w:style>
  <w:style w:type="paragraph" w:styleId="Article" w:customStyle="1">
    <w:name w:val="Article"/>
    <w:basedOn w:val="Normal"/>
    <w:link w:val="ArticleChar"/>
    <w:autoRedefine/>
    <w:qFormat/>
    <w:rsid w:val="009d3ddd"/>
    <w:pPr>
      <w:keepNext w:val="true"/>
      <w:tabs>
        <w:tab w:val="clear" w:pos="720"/>
        <w:tab w:val="left" w:pos="1560" w:leader="none"/>
      </w:tabs>
      <w:spacing w:lineRule="auto" w:line="276" w:before="360" w:after="120"/>
    </w:pPr>
    <w:rPr>
      <w:rFonts w:eastAsia="Calibri"/>
      <w:b/>
      <w:szCs w:val="22"/>
    </w:rPr>
  </w:style>
  <w:style w:type="paragraph" w:styleId="Pointarticle" w:customStyle="1">
    <w:name w:val="point article"/>
    <w:basedOn w:val="Heading2"/>
    <w:link w:val="pointarticleChar"/>
    <w:autoRedefine/>
    <w:qFormat/>
    <w:rsid w:val="00022cf7"/>
    <w:pPr>
      <w:keepNext w:val="false"/>
      <w:spacing w:lineRule="auto" w:line="276" w:before="240" w:after="60"/>
      <w:ind w:left="1276" w:hanging="709"/>
    </w:pPr>
    <w:rPr>
      <w:rFonts w:ascii="Times New Roman" w:hAnsi="Times New Roman"/>
      <w:b w:val="false"/>
      <w:bCs/>
      <w:iCs/>
      <w:sz w:val="22"/>
      <w:szCs w:val="28"/>
      <w:lang w:val="en-GB"/>
    </w:rPr>
  </w:style>
  <w:style w:type="paragraph" w:styleId="FrameContents">
    <w:name w:val="Frame Contents"/>
    <w:basedOn w:val="Normal"/>
    <w:qFormat/>
    <w:pPr/>
    <w:rPr/>
  </w:style>
  <w:style w:type="paragraph" w:styleId="Default">
    <w:name w:val="Default"/>
    <w:qFormat/>
    <w:pPr>
      <w:widowControl/>
      <w:bidi w:val="0"/>
      <w:jc w:val="left"/>
    </w:pPr>
    <w:rPr>
      <w:rFonts w:ascii="Times New Roman" w:hAnsi="Times New Roman" w:eastAsia="Times New Roman" w:cs="Times New Roman"/>
      <w:color w:val="000000"/>
      <w:kern w:val="0"/>
      <w:sz w:val="24"/>
      <w:szCs w:val="20"/>
      <w:lang w:val="en-GB" w:eastAsia="en-GB" w:bidi="ar-SA"/>
    </w:rPr>
  </w:style>
  <w:style w:type="numbering" w:styleId="NoList" w:default="1">
    <w:name w:val="No List"/>
    <w:uiPriority w:val="99"/>
    <w:semiHidden/>
    <w:unhideWhenUsed/>
    <w:qFormat/>
  </w:style>
  <w:style w:type="numbering" w:styleId="OutlineList2">
    <w:name w:val="Outline List 2"/>
    <w:qFormat/>
    <w:rsid w:val="005478e4"/>
  </w:style>
  <w:style w:type="numbering" w:styleId="Style11" w:customStyle="1">
    <w:name w:val="Style1"/>
    <w:qFormat/>
    <w:rsid w:val="005478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rsid w:val="0064115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parks@kriva"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44FB7-A9CD-4C50-AED5-6D77F7033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305</TotalTime>
  <Application>LibreOffice/6.2.2.2$Windows_X86_64 LibreOffice_project/2b840030fec2aae0fd2658d8d4f9548af4e3518d</Application>
  <Pages>7</Pages>
  <Words>3110</Words>
  <Characters>16660</Characters>
  <CharactersWithSpaces>19767</CharactersWithSpaces>
  <Paragraphs>128</Paragraphs>
  <Company>European Commission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2022-11-10T15:43:00Z</dcterms:created>
  <dc:creator>szkudva</dc:creator>
  <dc:description/>
  <dc:language>en-US</dc:language>
  <cp:lastModifiedBy/>
  <cp:lastPrinted>2014-02-12T13:59:00Z</cp:lastPrinted>
  <dcterms:modified xsi:type="dcterms:W3CDTF">2024-11-06T13:35:12Z</dcterms:modified>
  <cp:revision>58</cp:revision>
  <dc:subject/>
  <dc:title>&lt;LETTRE D’INVITATION À SOUMISSIONNER&gt;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European Commission</vt:lpwstr>
  </property>
  <property fmtid="{D5CDD505-2E9C-101B-9397-08002B2CF9AE}" pid="4" name="Created using">
    <vt:lpwstr>3.0</vt:lpwstr>
  </property>
  <property fmtid="{D5CDD505-2E9C-101B-9397-08002B2CF9AE}" pid="5" name="DocSecurity">
    <vt:i4>0</vt:i4>
  </property>
  <property fmtid="{D5CDD505-2E9C-101B-9397-08002B2CF9AE}" pid="6" name="ELDocType">
    <vt:lpwstr>REP.DOT</vt:lpwstr>
  </property>
  <property fmtid="{D5CDD505-2E9C-101B-9397-08002B2CF9AE}" pid="7" name="HyperlinksChanged">
    <vt:bool>0</vt:bool>
  </property>
  <property fmtid="{D5CDD505-2E9C-101B-9397-08002B2CF9AE}" pid="8" name="Last edited using">
    <vt:lpwstr>EL 4.6 Build 50000</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y fmtid="{D5CDD505-2E9C-101B-9397-08002B2CF9AE}" pid="12" name="_AdHocReviewCycleID">
    <vt:i4>-1477240103</vt:i4>
  </property>
  <property fmtid="{D5CDD505-2E9C-101B-9397-08002B2CF9AE}" pid="13" name="_ReviewingToolsShownOnce">
    <vt:lpwstr/>
  </property>
</Properties>
</file>